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79" w:rsidRPr="00712850" w:rsidRDefault="00DF3843" w:rsidP="00042679">
      <w:pPr>
        <w:autoSpaceDE w:val="0"/>
        <w:autoSpaceDN w:val="0"/>
        <w:adjustRightInd w:val="0"/>
        <w:jc w:val="center"/>
        <w:rPr>
          <w:rFonts w:ascii="HK Grotesk" w:eastAsia="Calibri" w:hAnsi="HK Grotesk" w:cs="Arial"/>
          <w:b/>
          <w:spacing w:val="-1"/>
          <w:sz w:val="28"/>
          <w:szCs w:val="28"/>
        </w:rPr>
      </w:pPr>
      <w:r>
        <w:rPr>
          <w:rFonts w:ascii="HK Grotesk" w:eastAsia="Calibri" w:hAnsi="HK Grotesk" w:cs="Arial"/>
          <w:b/>
          <w:spacing w:val="-1"/>
          <w:sz w:val="28"/>
          <w:szCs w:val="28"/>
        </w:rPr>
        <w:t>Ingresos Presupuestarios</w:t>
      </w: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17"/>
          <w:szCs w:val="17"/>
        </w:rPr>
      </w:pPr>
    </w:p>
    <w:p w:rsidR="0073502E" w:rsidRPr="00712850" w:rsidRDefault="0073502E" w:rsidP="00AA10DE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17"/>
          <w:szCs w:val="17"/>
        </w:rPr>
      </w:pPr>
    </w:p>
    <w:p w:rsidR="00DA298F" w:rsidRDefault="00DA298F" w:rsidP="00DA298F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>
        <w:rPr>
          <w:rFonts w:ascii="HK Grotesk" w:eastAsia="Calibri" w:hAnsi="HK Grotesk" w:cs="Arial"/>
          <w:spacing w:val="-1"/>
          <w:sz w:val="22"/>
          <w:szCs w:val="17"/>
        </w:rPr>
        <w:t>En atención a q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ue la previsión del monto de los ingresos debe realizarse de conformidad con la Ley para el Manejo de los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Recursos Públicos del Estado de Querétaro, la Ley de Disciplina Financiera de las Entidades Federativas y los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Municipios y sobre la base de un análisis técnico de las condiciones económicas y financieras nacionales y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estatales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, 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para el cálculo de los ingresos que percibirá el Estado de Querétaro durante el ejercicio fiscal</w:t>
      </w:r>
      <w:r w:rsidR="00AC5AFB">
        <w:rPr>
          <w:rFonts w:ascii="HK Grotesk" w:eastAsia="Calibri" w:hAnsi="HK Grotesk" w:cs="Arial"/>
          <w:spacing w:val="-1"/>
          <w:sz w:val="22"/>
          <w:szCs w:val="17"/>
        </w:rPr>
        <w:t xml:space="preserve"> 2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022, se consideró lo siguiente: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</w:p>
    <w:p w:rsidR="00DA298F" w:rsidRDefault="00DA298F" w:rsidP="00DA298F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712850" w:rsidRDefault="00AC5AFB" w:rsidP="00AC5AFB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AC5AFB">
        <w:rPr>
          <w:rFonts w:ascii="HK Grotesk" w:eastAsia="Calibri" w:hAnsi="HK Grotesk" w:cs="Arial"/>
          <w:spacing w:val="-1"/>
          <w:sz w:val="22"/>
          <w:szCs w:val="17"/>
        </w:rPr>
        <w:t>Los Criterios Generales de Política Económica 2022 que presentó la Secretaría de Hacienda y Crédito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AC5AFB">
        <w:rPr>
          <w:rFonts w:ascii="HK Grotesk" w:eastAsia="Calibri" w:hAnsi="HK Grotesk" w:cs="Arial"/>
          <w:spacing w:val="-1"/>
          <w:sz w:val="22"/>
          <w:szCs w:val="17"/>
        </w:rPr>
        <w:t>Público al Congreso de la Unión, en los que se estiman para 2022, un crecimiento del Producto Interno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AC5AFB">
        <w:rPr>
          <w:rFonts w:ascii="HK Grotesk" w:eastAsia="Calibri" w:hAnsi="HK Grotesk" w:cs="Arial"/>
          <w:spacing w:val="-1"/>
          <w:sz w:val="22"/>
          <w:szCs w:val="17"/>
        </w:rPr>
        <w:t>Bruto entre 3.6% y 4.6%, así como una inflación de 4.1% y de conformidad a las publicaciones del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AC5AFB">
        <w:rPr>
          <w:rFonts w:ascii="HK Grotesk" w:eastAsia="Calibri" w:hAnsi="HK Grotesk" w:cs="Arial"/>
          <w:spacing w:val="-1"/>
          <w:sz w:val="22"/>
          <w:szCs w:val="17"/>
        </w:rPr>
        <w:t>Instituto Nacional de Estadística y Geografía (INEGI), el Estado de Querétaro ha tenido un crecimiento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AC5AFB">
        <w:rPr>
          <w:rFonts w:ascii="HK Grotesk" w:eastAsia="Calibri" w:hAnsi="HK Grotesk" w:cs="Arial"/>
          <w:spacing w:val="-1"/>
          <w:sz w:val="22"/>
          <w:szCs w:val="17"/>
        </w:rPr>
        <w:t>anual del Indicador Trimestral de la Actividad Económica Estatal de 23.0% durante el segundo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t</w:t>
      </w:r>
      <w:r w:rsidRPr="00AC5AFB">
        <w:rPr>
          <w:rFonts w:ascii="HK Grotesk" w:eastAsia="Calibri" w:hAnsi="HK Grotesk" w:cs="Arial"/>
          <w:spacing w:val="-1"/>
          <w:sz w:val="22"/>
          <w:szCs w:val="17"/>
        </w:rPr>
        <w:t>rimestre de 2021, respecto del mismo periodo del 2020, y al mes de octubre del 2021 una inflación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AC5AFB">
        <w:rPr>
          <w:rFonts w:ascii="HK Grotesk" w:eastAsia="Calibri" w:hAnsi="HK Grotesk" w:cs="Arial"/>
          <w:spacing w:val="-1"/>
          <w:sz w:val="22"/>
          <w:szCs w:val="17"/>
        </w:rPr>
        <w:t>anual de 6.4%.</w:t>
      </w:r>
    </w:p>
    <w:p w:rsidR="00AC5AFB" w:rsidRDefault="00AC5AFB" w:rsidP="00AC5AFB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AC5AFB" w:rsidRDefault="00AC5AFB" w:rsidP="00AC5AFB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AC5AFB">
        <w:rPr>
          <w:rFonts w:ascii="HK Grotesk" w:eastAsia="Calibri" w:hAnsi="HK Grotesk" w:cs="Arial"/>
          <w:spacing w:val="-1"/>
          <w:sz w:val="22"/>
          <w:szCs w:val="17"/>
        </w:rPr>
        <w:t>En dichos Criterios, el precio de la mezcla mexicana de exportación de petróleo crudo se estimó en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AC5AFB">
        <w:rPr>
          <w:rFonts w:ascii="HK Grotesk" w:eastAsia="Calibri" w:hAnsi="HK Grotesk" w:cs="Arial"/>
          <w:spacing w:val="-1"/>
          <w:sz w:val="22"/>
          <w:szCs w:val="17"/>
        </w:rPr>
        <w:t>55.1 dólares por barril, la plataforma de exportación promedio se contrae en 1.8% y la plataforma de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AC5AFB">
        <w:rPr>
          <w:rFonts w:ascii="HK Grotesk" w:eastAsia="Calibri" w:hAnsi="HK Grotesk" w:cs="Arial"/>
          <w:spacing w:val="-1"/>
          <w:sz w:val="22"/>
          <w:szCs w:val="17"/>
        </w:rPr>
        <w:t>producción crece e</w:t>
      </w:r>
      <w:r>
        <w:rPr>
          <w:rFonts w:ascii="HK Grotesk" w:eastAsia="Calibri" w:hAnsi="HK Grotesk" w:cs="Arial"/>
          <w:spacing w:val="-1"/>
          <w:sz w:val="22"/>
          <w:szCs w:val="17"/>
        </w:rPr>
        <w:t>n 4.2% respecto al año anterior.</w:t>
      </w:r>
    </w:p>
    <w:p w:rsidR="00AC5AFB" w:rsidRDefault="00AC5AFB" w:rsidP="00AC5AFB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712850" w:rsidRDefault="00DA298F" w:rsidP="00DA298F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DA298F">
        <w:rPr>
          <w:rFonts w:ascii="HK Grotesk" w:eastAsia="Calibri" w:hAnsi="HK Grotesk" w:cs="Arial"/>
          <w:spacing w:val="-1"/>
          <w:sz w:val="22"/>
          <w:szCs w:val="17"/>
        </w:rPr>
        <w:t>Se estima que los ingresos que percibirá el Estado crezcan 19.4% con respecto a la Ley de Ingresos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del Estado de Querétaro del ejercicio inmediato anterior, en virtud de que se prevé un incremento en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Ingresos Propios, Participaciones Federales y de los Incentivos Derivados de la Colaboración Fiscal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en 28.8%.</w:t>
      </w:r>
    </w:p>
    <w:p w:rsidR="00DA298F" w:rsidRDefault="00DA298F" w:rsidP="00DA298F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712850" w:rsidRDefault="00DA298F" w:rsidP="00DA298F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>
        <w:rPr>
          <w:rFonts w:ascii="HK Grotesk" w:eastAsia="Calibri" w:hAnsi="HK Grotesk" w:cs="Arial"/>
          <w:spacing w:val="-1"/>
          <w:sz w:val="22"/>
          <w:szCs w:val="17"/>
        </w:rPr>
        <w:t xml:space="preserve">A 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su vez, se estima un crecimiento de 9.1% en las Aportaciones Federales y en Convenios de 1%, con respecto al ejercicio fiscal inmediato anterior, estas en referencia a la Ley de Disciplina Financiera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A298F">
        <w:rPr>
          <w:rFonts w:ascii="HK Grotesk" w:eastAsia="Calibri" w:hAnsi="HK Grotesk" w:cs="Arial"/>
          <w:spacing w:val="-1"/>
          <w:sz w:val="22"/>
          <w:szCs w:val="17"/>
        </w:rPr>
        <w:t>de las Entidades Federativas y los Municipios.</w:t>
      </w:r>
    </w:p>
    <w:p w:rsidR="00DA298F" w:rsidRDefault="00DA298F" w:rsidP="00DA298F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3017B9" w:rsidRDefault="00D463A8" w:rsidP="00D463A8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D463A8">
        <w:rPr>
          <w:rFonts w:ascii="HK Grotesk" w:eastAsia="Calibri" w:hAnsi="HK Grotesk" w:cs="Arial"/>
          <w:spacing w:val="-1"/>
          <w:sz w:val="22"/>
          <w:szCs w:val="17"/>
        </w:rPr>
        <w:t xml:space="preserve">De 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acuerdo </w:t>
      </w:r>
      <w:r w:rsidRPr="00D463A8">
        <w:rPr>
          <w:rFonts w:ascii="HK Grotesk" w:eastAsia="Calibri" w:hAnsi="HK Grotesk" w:cs="Arial"/>
          <w:spacing w:val="-1"/>
          <w:sz w:val="22"/>
          <w:szCs w:val="17"/>
        </w:rPr>
        <w:t>a lo establecido en el artículo 53 QUÁTER de la Ley para el Manejo de los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463A8">
        <w:rPr>
          <w:rFonts w:ascii="HK Grotesk" w:eastAsia="Calibri" w:hAnsi="HK Grotesk" w:cs="Arial"/>
          <w:spacing w:val="-1"/>
          <w:sz w:val="22"/>
          <w:szCs w:val="17"/>
        </w:rPr>
        <w:t>Recursos Públicos del Estado de Querétaro, el Financiamiento Propio del Poder Ejecutivo, que se ejercerá en el ejercicio fiscal 2022 asciende a la cantidad de $2,629,674,532 (Dos mil</w:t>
      </w:r>
      <w:r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Pr="00D463A8">
        <w:rPr>
          <w:rFonts w:ascii="HK Grotesk" w:eastAsia="Calibri" w:hAnsi="HK Grotesk" w:cs="Arial"/>
          <w:spacing w:val="-1"/>
          <w:sz w:val="22"/>
          <w:szCs w:val="17"/>
        </w:rPr>
        <w:t>seiscientos veintinueve millones seiscientos setenta y cuatro mil quinientos treinta y dos pesos 00/100 M.N.).</w:t>
      </w:r>
    </w:p>
    <w:p w:rsidR="00D463A8" w:rsidRDefault="00D463A8" w:rsidP="00D463A8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3017B9" w:rsidRDefault="00AF5FC9" w:rsidP="00AC5AFB">
      <w:pPr>
        <w:autoSpaceDE w:val="0"/>
        <w:autoSpaceDN w:val="0"/>
        <w:adjustRightInd w:val="0"/>
        <w:jc w:val="both"/>
        <w:rPr>
          <w:rFonts w:ascii="HK Grotesk" w:eastAsia="Calibri" w:hAnsi="HK Grotesk"/>
          <w:sz w:val="22"/>
          <w:szCs w:val="22"/>
        </w:rPr>
      </w:pPr>
      <w:r w:rsidRPr="00712850">
        <w:rPr>
          <w:rFonts w:ascii="HK Grotesk" w:eastAsia="Calibri" w:hAnsi="HK Grotesk" w:cs="Arial"/>
          <w:spacing w:val="-1"/>
          <w:sz w:val="22"/>
          <w:szCs w:val="17"/>
        </w:rPr>
        <w:t>El monto total estimado en la Ley de Ingresos del Estado de Querétaro para el ejercicio fi</w:t>
      </w:r>
      <w:r w:rsidR="00AC5AFB">
        <w:rPr>
          <w:rFonts w:ascii="HK Grotesk" w:eastAsia="Calibri" w:hAnsi="HK Grotesk" w:cs="Arial"/>
          <w:spacing w:val="-1"/>
          <w:sz w:val="22"/>
          <w:szCs w:val="17"/>
        </w:rPr>
        <w:t>scal 2022</w:t>
      </w:r>
      <w:r w:rsidRPr="00712850">
        <w:rPr>
          <w:rFonts w:ascii="HK Grotesk" w:eastAsia="Calibri" w:hAnsi="HK Grotesk" w:cs="Arial"/>
          <w:spacing w:val="-1"/>
          <w:sz w:val="22"/>
          <w:szCs w:val="17"/>
        </w:rPr>
        <w:t>, ascendió a la cantidad de</w:t>
      </w:r>
      <w:r w:rsidR="00531864" w:rsidRPr="00712850">
        <w:rPr>
          <w:rFonts w:ascii="HK Grotesk" w:eastAsia="Calibri" w:hAnsi="HK Grotesk" w:cs="Arial"/>
          <w:spacing w:val="-1"/>
          <w:sz w:val="22"/>
          <w:szCs w:val="17"/>
        </w:rPr>
        <w:t xml:space="preserve"> $</w:t>
      </w:r>
      <w:r w:rsidR="00AC5AFB" w:rsidRPr="00AC5AFB">
        <w:rPr>
          <w:rFonts w:ascii="HK Grotesk" w:eastAsia="Calibri" w:hAnsi="HK Grotesk" w:cs="Arial"/>
          <w:spacing w:val="-1"/>
          <w:sz w:val="22"/>
          <w:szCs w:val="17"/>
        </w:rPr>
        <w:t>45,898,415,221</w:t>
      </w:r>
      <w:r w:rsidR="00D463A8">
        <w:rPr>
          <w:rFonts w:ascii="HK Grotesk" w:eastAsia="Calibri" w:hAnsi="HK Grotesk" w:cs="Arial"/>
          <w:spacing w:val="-1"/>
          <w:sz w:val="22"/>
          <w:szCs w:val="17"/>
        </w:rPr>
        <w:t xml:space="preserve"> </w:t>
      </w:r>
      <w:r w:rsidR="00D463A8">
        <w:rPr>
          <w:rFonts w:ascii="HK Grotesk" w:eastAsia="Calibri" w:hAnsi="HK Grotesk"/>
          <w:sz w:val="22"/>
          <w:szCs w:val="22"/>
        </w:rPr>
        <w:t>(</w:t>
      </w:r>
      <w:r w:rsidR="00D463A8" w:rsidRPr="00F65425">
        <w:rPr>
          <w:rFonts w:ascii="HK Grotesk" w:eastAsia="Calibri" w:hAnsi="HK Grotesk"/>
          <w:sz w:val="22"/>
          <w:szCs w:val="22"/>
        </w:rPr>
        <w:t>Cuarenta y cinco mil ochocientos noventa y ocho</w:t>
      </w:r>
      <w:r w:rsidR="00D463A8">
        <w:rPr>
          <w:rFonts w:ascii="HK Grotesk" w:eastAsia="Calibri" w:hAnsi="HK Grotesk"/>
          <w:sz w:val="22"/>
          <w:szCs w:val="22"/>
        </w:rPr>
        <w:t xml:space="preserve"> </w:t>
      </w:r>
      <w:r w:rsidR="00D463A8" w:rsidRPr="00F65425">
        <w:rPr>
          <w:rFonts w:ascii="HK Grotesk" w:eastAsia="Calibri" w:hAnsi="HK Grotesk"/>
          <w:sz w:val="22"/>
          <w:szCs w:val="22"/>
        </w:rPr>
        <w:t>millones cuatrocientos quince mil doscientos veintiún pesos 00/100 M.N)</w:t>
      </w:r>
      <w:r w:rsidR="00D463A8">
        <w:rPr>
          <w:rFonts w:ascii="HK Grotesk" w:eastAsia="Calibri" w:hAnsi="HK Grotesk"/>
          <w:sz w:val="22"/>
          <w:szCs w:val="22"/>
        </w:rPr>
        <w:t xml:space="preserve"> como se detalla a continuación:</w:t>
      </w:r>
    </w:p>
    <w:p w:rsidR="00DB487B" w:rsidRDefault="00DB487B" w:rsidP="00AC5AFB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261B2B" w:rsidRPr="00261B2B" w:rsidRDefault="00261B2B" w:rsidP="00AC5AFB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b/>
          <w:spacing w:val="-1"/>
          <w:sz w:val="22"/>
          <w:szCs w:val="17"/>
        </w:rPr>
      </w:pPr>
      <w:r w:rsidRPr="00261B2B">
        <w:rPr>
          <w:rFonts w:ascii="HK Grotesk" w:eastAsia="Calibri" w:hAnsi="HK Grotesk" w:cs="Arial"/>
          <w:b/>
          <w:spacing w:val="-1"/>
          <w:sz w:val="22"/>
          <w:szCs w:val="17"/>
        </w:rPr>
        <w:lastRenderedPageBreak/>
        <w:t xml:space="preserve">Ingresos Estimados de </w:t>
      </w:r>
      <w:r>
        <w:rPr>
          <w:rFonts w:ascii="HK Grotesk" w:eastAsia="Calibri" w:hAnsi="HK Grotesk" w:cs="Arial"/>
          <w:b/>
          <w:spacing w:val="-1"/>
          <w:sz w:val="22"/>
          <w:szCs w:val="17"/>
        </w:rPr>
        <w:t>c</w:t>
      </w:r>
      <w:r w:rsidRPr="00261B2B">
        <w:rPr>
          <w:rFonts w:ascii="HK Grotesk" w:eastAsia="Calibri" w:hAnsi="HK Grotesk" w:cs="Arial"/>
          <w:b/>
          <w:spacing w:val="-1"/>
          <w:sz w:val="22"/>
          <w:szCs w:val="17"/>
        </w:rPr>
        <w:t>onformidad con la Ley de Ingresos del Estado de Querétaro para el Ejercicio Fiscal 2022</w:t>
      </w:r>
      <w:r>
        <w:rPr>
          <w:rFonts w:ascii="HK Grotesk" w:eastAsia="Calibri" w:hAnsi="HK Grotesk" w:cs="Arial"/>
          <w:b/>
          <w:spacing w:val="-1"/>
          <w:sz w:val="22"/>
          <w:szCs w:val="17"/>
        </w:rPr>
        <w:t>:</w:t>
      </w:r>
    </w:p>
    <w:p w:rsidR="00261B2B" w:rsidRDefault="00261B2B" w:rsidP="00AC5AFB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3"/>
        <w:gridCol w:w="3625"/>
      </w:tblGrid>
      <w:tr w:rsidR="00436214" w:rsidRPr="0049489D" w:rsidTr="00261B2B">
        <w:trPr>
          <w:trHeight w:val="294"/>
        </w:trPr>
        <w:tc>
          <w:tcPr>
            <w:tcW w:w="3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1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MONTO</w:t>
            </w:r>
          </w:p>
        </w:tc>
      </w:tr>
      <w:tr w:rsidR="00436214" w:rsidRPr="0049489D" w:rsidTr="00261B2B">
        <w:trPr>
          <w:trHeight w:val="335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Impuestos 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$       4,531,925,969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Cuotas y Aportaciones de Seguridad Social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Contribuciones Especiales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-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Derechos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$       2,641,822,228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Productos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$         230,381,463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Aprovechamientos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$         185,066,583 </w:t>
            </w:r>
          </w:p>
        </w:tc>
      </w:tr>
      <w:tr w:rsidR="00436214" w:rsidRPr="0049489D" w:rsidTr="00261B2B">
        <w:trPr>
          <w:trHeight w:val="522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Ingresos por Venta de Bienes, Prestación de Servicios y Otros Ingresos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-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>TOTAL DE INGRESOS PROPIOS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$      7,589,196,243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Participaciones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$     17,402,750,927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Aportaciones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$     13,902,768,330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Convenios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$       3,245,013,612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Incentivos Derivados de la Colaboración Fiscal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$       1,129,011,577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Fondos Distintos de Aportaciones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- </w:t>
            </w:r>
          </w:p>
        </w:tc>
      </w:tr>
      <w:tr w:rsidR="00436214" w:rsidRPr="0049489D" w:rsidTr="00261B2B">
        <w:trPr>
          <w:trHeight w:val="776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>TOTAL DE PARTICIPACIONES, APORTACIONES, CONVENIOS, INCENTIVOS DERIVADOS DE LA COLABORACIÓN FISCAL Y FONDOS DISTINTOS DE APORTACIONES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$   35,679,544,446 </w:t>
            </w:r>
          </w:p>
        </w:tc>
      </w:tr>
      <w:tr w:rsidR="00436214" w:rsidRPr="0049489D" w:rsidTr="00261B2B">
        <w:trPr>
          <w:trHeight w:val="522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Transferencias, Asignaciones, Subsidios y Subvenciones, y Pensiones y Jubilaciones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-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>Ingresos Extraordinarios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sz w:val="20"/>
                <w:szCs w:val="20"/>
              </w:rPr>
              <w:t xml:space="preserve"> -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>TOTAL DE INGRESOS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$   43,268,740,689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436214" w:rsidRPr="0049489D" w:rsidRDefault="00436214">
            <w:pPr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>TOTAL DE FINANCIAMIENTO PROPIO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$      2,629,674,532 </w:t>
            </w:r>
          </w:p>
        </w:tc>
      </w:tr>
      <w:tr w:rsidR="00436214" w:rsidRPr="0049489D" w:rsidTr="00261B2B">
        <w:trPr>
          <w:trHeight w:val="294"/>
        </w:trPr>
        <w:tc>
          <w:tcPr>
            <w:tcW w:w="3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TOTAL DE INGRESOS PARA EL EJERCICIO FISCAL 2022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436214" w:rsidRPr="0049489D" w:rsidRDefault="00436214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 $   45,898,415,221 </w:t>
            </w:r>
          </w:p>
        </w:tc>
      </w:tr>
    </w:tbl>
    <w:p w:rsidR="00436214" w:rsidRDefault="00436214" w:rsidP="005027C2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5027C2" w:rsidRPr="00436214" w:rsidRDefault="00560A39" w:rsidP="005027C2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b/>
          <w:spacing w:val="-1"/>
          <w:sz w:val="22"/>
          <w:szCs w:val="17"/>
        </w:rPr>
      </w:pPr>
      <w:r w:rsidRPr="00436214">
        <w:rPr>
          <w:rFonts w:ascii="HK Grotesk" w:eastAsia="Calibri" w:hAnsi="HK Grotesk" w:cs="Arial"/>
          <w:b/>
          <w:spacing w:val="-1"/>
          <w:sz w:val="22"/>
          <w:szCs w:val="17"/>
        </w:rPr>
        <w:t xml:space="preserve">Al cierre del ejercicio </w:t>
      </w:r>
      <w:r w:rsidR="00436214" w:rsidRPr="00436214">
        <w:rPr>
          <w:rFonts w:ascii="HK Grotesk" w:eastAsia="Calibri" w:hAnsi="HK Grotesk" w:cs="Arial"/>
          <w:b/>
          <w:spacing w:val="-1"/>
          <w:sz w:val="22"/>
          <w:szCs w:val="17"/>
        </w:rPr>
        <w:t>2022</w:t>
      </w:r>
      <w:r w:rsidRPr="00436214">
        <w:rPr>
          <w:rFonts w:ascii="HK Grotesk" w:eastAsia="Calibri" w:hAnsi="HK Grotesk" w:cs="Arial"/>
          <w:b/>
          <w:spacing w:val="-1"/>
          <w:sz w:val="22"/>
          <w:szCs w:val="17"/>
        </w:rPr>
        <w:t xml:space="preserve"> </w:t>
      </w:r>
      <w:r w:rsidR="00211BB2" w:rsidRPr="00436214">
        <w:rPr>
          <w:rFonts w:ascii="HK Grotesk" w:eastAsia="Calibri" w:hAnsi="HK Grotesk" w:cs="Arial"/>
          <w:b/>
          <w:spacing w:val="-1"/>
          <w:sz w:val="22"/>
          <w:szCs w:val="17"/>
        </w:rPr>
        <w:t>se tuvo una recaudación total de $</w:t>
      </w:r>
      <w:r w:rsidR="00436214" w:rsidRPr="00436214">
        <w:rPr>
          <w:rFonts w:ascii="HK Grotesk" w:eastAsia="Calibri" w:hAnsi="HK Grotesk" w:cs="Arial"/>
          <w:b/>
          <w:spacing w:val="-1"/>
          <w:sz w:val="22"/>
          <w:szCs w:val="17"/>
        </w:rPr>
        <w:t xml:space="preserve">47,421,204,946 </w:t>
      </w:r>
      <w:r w:rsidR="00D463A8">
        <w:rPr>
          <w:rFonts w:ascii="HK Grotesk" w:eastAsia="Calibri" w:hAnsi="HK Grotesk" w:cs="Arial"/>
          <w:b/>
          <w:spacing w:val="-1"/>
          <w:sz w:val="22"/>
          <w:szCs w:val="17"/>
        </w:rPr>
        <w:t xml:space="preserve">(Cuarenta y siete mil cuatrocientos veintiún millones doscientos cuatro mil novecientos cuarenta y seis 00/100 M.N.) </w:t>
      </w:r>
      <w:r w:rsidR="00211BB2" w:rsidRPr="00436214">
        <w:rPr>
          <w:rFonts w:ascii="HK Grotesk" w:eastAsia="Calibri" w:hAnsi="HK Grotesk" w:cs="Arial"/>
          <w:b/>
          <w:spacing w:val="-1"/>
          <w:sz w:val="22"/>
          <w:szCs w:val="17"/>
        </w:rPr>
        <w:t>como se reporta a continuación</w:t>
      </w:r>
      <w:r w:rsidRPr="00436214">
        <w:rPr>
          <w:rFonts w:ascii="HK Grotesk" w:eastAsia="Calibri" w:hAnsi="HK Grotesk" w:cs="Arial"/>
          <w:b/>
          <w:spacing w:val="-1"/>
          <w:sz w:val="22"/>
          <w:szCs w:val="17"/>
        </w:rPr>
        <w:t>:</w:t>
      </w:r>
    </w:p>
    <w:p w:rsidR="0082068D" w:rsidRPr="00712850" w:rsidRDefault="0082068D" w:rsidP="005027C2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784E4B" w:rsidRDefault="00363EC6" w:rsidP="00A14DEA">
      <w:pPr>
        <w:autoSpaceDE w:val="0"/>
        <w:autoSpaceDN w:val="0"/>
        <w:adjustRightInd w:val="0"/>
        <w:spacing w:line="480" w:lineRule="auto"/>
        <w:jc w:val="both"/>
        <w:rPr>
          <w:noProof/>
        </w:rPr>
      </w:pPr>
      <w:r w:rsidRPr="00684553">
        <w:rPr>
          <w:rFonts w:ascii="HK Grotesk" w:hAnsi="HK Grotesk"/>
          <w:b/>
          <w:noProof/>
          <w:sz w:val="56"/>
          <w:shd w:val="clear" w:color="auto" w:fill="385623" w:themeFill="accent6" w:themeFillShade="80"/>
        </w:rPr>
        <w:lastRenderedPageBreak/>
        <mc:AlternateContent>
          <mc:Choice Requires="cx">
            <w:drawing>
              <wp:inline distT="0" distB="0" distL="0" distR="0" wp14:anchorId="1D5F44A3" wp14:editId="6AD8EA0B">
                <wp:extent cx="8418574" cy="3918585"/>
                <wp:effectExtent l="0" t="0" r="1905" b="5715"/>
                <wp:docPr id="1" name="Gráfico 1"/>
                <wp:cNvGraphicFramePr/>
                <a:graphic xmlns:a="http://schemas.openxmlformats.org/drawingml/2006/main">
                  <a:graphicData uri="http://schemas.microsoft.com/office/drawing/2014/chartex">
                    <c:chart xmlns:c="http://schemas.openxmlformats.org/drawingml/2006/chart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1D5F44A3" wp14:editId="6AD8EA0B">
                <wp:extent cx="8418574" cy="3918585"/>
                <wp:effectExtent l="0" t="0" r="1905" b="5715"/>
                <wp:docPr id="1" name="Gráfico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áfico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8195" cy="3918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684553" w:rsidRPr="004E617C" w:rsidRDefault="00684553" w:rsidP="0068455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b/>
          <w:spacing w:val="-1"/>
          <w:sz w:val="22"/>
          <w:szCs w:val="17"/>
        </w:rPr>
      </w:pPr>
      <w:r w:rsidRPr="004E617C">
        <w:rPr>
          <w:rFonts w:ascii="HK Grotesk" w:eastAsia="Calibri" w:hAnsi="HK Grotesk" w:cs="Arial"/>
          <w:b/>
          <w:spacing w:val="-1"/>
          <w:sz w:val="22"/>
          <w:szCs w:val="17"/>
        </w:rPr>
        <w:t xml:space="preserve">Se destaca que durante el ejercicio 2022, se presentó una recaudación del 9.60% mayor a lo estimado en la Ley de Ingresos del Estado de Querétaro para el mismo ejercicio y del 19.76% en comparación con los ingresos recaudados durante el ejercicio </w:t>
      </w:r>
      <w:r w:rsidR="00DB487B">
        <w:rPr>
          <w:rFonts w:ascii="HK Grotesk" w:eastAsia="Calibri" w:hAnsi="HK Grotesk" w:cs="Arial"/>
          <w:b/>
          <w:spacing w:val="-1"/>
          <w:sz w:val="22"/>
          <w:szCs w:val="17"/>
        </w:rPr>
        <w:t xml:space="preserve">fiscal </w:t>
      </w:r>
      <w:r w:rsidRPr="004E617C">
        <w:rPr>
          <w:rFonts w:ascii="HK Grotesk" w:eastAsia="Calibri" w:hAnsi="HK Grotesk" w:cs="Arial"/>
          <w:b/>
          <w:spacing w:val="-1"/>
          <w:sz w:val="22"/>
          <w:szCs w:val="17"/>
        </w:rPr>
        <w:t>2021.</w:t>
      </w:r>
    </w:p>
    <w:p w:rsidR="00684553" w:rsidRDefault="00684553" w:rsidP="00684553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363EC6" w:rsidRDefault="00363EC6" w:rsidP="00A14DEA">
      <w:pPr>
        <w:autoSpaceDE w:val="0"/>
        <w:autoSpaceDN w:val="0"/>
        <w:adjustRightInd w:val="0"/>
        <w:spacing w:line="480" w:lineRule="auto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261B2B" w:rsidRDefault="00261B2B" w:rsidP="00A14DEA">
      <w:pPr>
        <w:autoSpaceDE w:val="0"/>
        <w:autoSpaceDN w:val="0"/>
        <w:adjustRightInd w:val="0"/>
        <w:spacing w:line="480" w:lineRule="auto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261B2B" w:rsidRDefault="00261B2B" w:rsidP="00A14DEA">
      <w:pPr>
        <w:autoSpaceDE w:val="0"/>
        <w:autoSpaceDN w:val="0"/>
        <w:adjustRightInd w:val="0"/>
        <w:spacing w:line="480" w:lineRule="auto"/>
        <w:jc w:val="both"/>
        <w:rPr>
          <w:rFonts w:ascii="HK Grotesk" w:eastAsia="Calibri" w:hAnsi="HK Grotesk" w:cs="Arial"/>
          <w:spacing w:val="-1"/>
          <w:sz w:val="22"/>
          <w:szCs w:val="17"/>
        </w:rPr>
      </w:pPr>
    </w:p>
    <w:p w:rsidR="00261B2B" w:rsidRDefault="00261B2B" w:rsidP="00261B2B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b/>
          <w:spacing w:val="-1"/>
          <w:sz w:val="22"/>
          <w:szCs w:val="17"/>
        </w:rPr>
      </w:pPr>
      <w:r>
        <w:rPr>
          <w:rFonts w:ascii="HK Grotesk" w:eastAsia="Calibri" w:hAnsi="HK Grotesk" w:cs="Arial"/>
          <w:b/>
          <w:spacing w:val="-1"/>
          <w:sz w:val="22"/>
          <w:szCs w:val="17"/>
        </w:rPr>
        <w:lastRenderedPageBreak/>
        <w:t xml:space="preserve">Comparativa de los </w:t>
      </w:r>
      <w:r w:rsidRPr="00261B2B">
        <w:rPr>
          <w:rFonts w:ascii="HK Grotesk" w:eastAsia="Calibri" w:hAnsi="HK Grotesk" w:cs="Arial"/>
          <w:b/>
          <w:spacing w:val="-1"/>
          <w:sz w:val="22"/>
          <w:szCs w:val="17"/>
        </w:rPr>
        <w:t xml:space="preserve">Ingresos Estimados </w:t>
      </w:r>
      <w:r>
        <w:rPr>
          <w:rFonts w:ascii="HK Grotesk" w:eastAsia="Calibri" w:hAnsi="HK Grotesk" w:cs="Arial"/>
          <w:b/>
          <w:spacing w:val="-1"/>
          <w:sz w:val="22"/>
          <w:szCs w:val="17"/>
        </w:rPr>
        <w:t xml:space="preserve">y Recaudados </w:t>
      </w:r>
      <w:r w:rsidRPr="00261B2B">
        <w:rPr>
          <w:rFonts w:ascii="HK Grotesk" w:eastAsia="Calibri" w:hAnsi="HK Grotesk" w:cs="Arial"/>
          <w:b/>
          <w:spacing w:val="-1"/>
          <w:sz w:val="22"/>
          <w:szCs w:val="17"/>
        </w:rPr>
        <w:t>para el Ejercicio Fiscal 2022</w:t>
      </w:r>
      <w:r>
        <w:rPr>
          <w:rFonts w:ascii="HK Grotesk" w:eastAsia="Calibri" w:hAnsi="HK Grotesk" w:cs="Arial"/>
          <w:b/>
          <w:spacing w:val="-1"/>
          <w:sz w:val="22"/>
          <w:szCs w:val="17"/>
        </w:rPr>
        <w:t>:</w:t>
      </w:r>
    </w:p>
    <w:p w:rsidR="00261B2B" w:rsidRPr="00261B2B" w:rsidRDefault="00261B2B" w:rsidP="00261B2B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b/>
          <w:spacing w:val="-1"/>
          <w:sz w:val="22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1"/>
        <w:gridCol w:w="2712"/>
        <w:gridCol w:w="1778"/>
        <w:gridCol w:w="1717"/>
      </w:tblGrid>
      <w:tr w:rsidR="005820E1" w:rsidRPr="0049489D" w:rsidTr="0049489D">
        <w:trPr>
          <w:trHeight w:val="237"/>
        </w:trPr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261B2B" w:rsidRPr="0049489D" w:rsidRDefault="00261B2B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61B2B" w:rsidRPr="0049489D" w:rsidRDefault="00261B2B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ESTIMADO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61B2B" w:rsidRPr="0049489D" w:rsidRDefault="00261B2B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RECAUDADO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61B2B" w:rsidRPr="0049489D" w:rsidRDefault="00261B2B">
            <w:pPr>
              <w:jc w:val="center"/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>VARIACIÓN</w:t>
            </w:r>
            <w:r w:rsidR="0049489D">
              <w:rPr>
                <w:rFonts w:ascii="HK Grotesk" w:hAnsi="HK Grotesk" w:cs="Calibri"/>
                <w:b/>
                <w:bCs/>
                <w:color w:val="FFFFFF" w:themeColor="background1"/>
                <w:sz w:val="20"/>
                <w:szCs w:val="20"/>
              </w:rPr>
              <w:t xml:space="preserve"> %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 xml:space="preserve">Impuestos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4,531,925,969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5,074,478,131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  <w:t>11.97%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Cuotas y Aportaciones de Seguridad Social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sz w:val="20"/>
                <w:szCs w:val="22"/>
              </w:rPr>
              <w:t>-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Contribuciones Especiales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sz w:val="20"/>
                <w:szCs w:val="22"/>
              </w:rPr>
              <w:t>-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2,641,822,228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3,171,241,259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  <w:t>20.04%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230,381,463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504,282,761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  <w:t>118.89%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185,066,583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288,493,551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  <w:t>55.89%</w:t>
            </w:r>
          </w:p>
        </w:tc>
      </w:tr>
      <w:tr w:rsidR="0049489D" w:rsidRPr="0049489D" w:rsidTr="0049489D">
        <w:trPr>
          <w:trHeight w:val="395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Ingresos por Venta de Bienes, Prestación de Servicios y Otros Ingresos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sz w:val="20"/>
                <w:szCs w:val="22"/>
              </w:rPr>
              <w:t>-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17,402,750,927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18,159,145,095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  <w:t>4.35%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Incentivos Derivados de la Colaboración Fiscal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1,129,011,577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1,972,815,877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  <w:t>74.74%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  <w:t>-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Otros Ingresos de Libre Disposición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  <w:t>-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 xml:space="preserve">TOTAL DE INGRESOS DE LIBRE DISPOSICIÓN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26,120,958,747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29,170,456,674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b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b/>
                <w:color w:val="385623" w:themeColor="accent6" w:themeShade="80"/>
                <w:sz w:val="20"/>
                <w:szCs w:val="22"/>
              </w:rPr>
              <w:t>11.67%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Aportaciones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13,902,768,330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14,353,935,606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  <w:t>3.25%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3,245,013,612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3,896,812,667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color w:val="385623" w:themeColor="accent6" w:themeShade="80"/>
                <w:sz w:val="20"/>
                <w:szCs w:val="22"/>
              </w:rPr>
              <w:t>20.09%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Fondos Distintos de Aportaciones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sz w:val="20"/>
                <w:szCs w:val="22"/>
              </w:rPr>
              <w:t>-</w:t>
            </w:r>
          </w:p>
        </w:tc>
      </w:tr>
      <w:tr w:rsidR="0049489D" w:rsidRPr="0049489D" w:rsidTr="0049489D">
        <w:trPr>
          <w:trHeight w:val="395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Transferencias, Asignaciones, Subsidios y Subvenciones, y Pensiones y Jubilaciones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sz w:val="20"/>
                <w:szCs w:val="22"/>
              </w:rPr>
              <w:t>-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Otras Transferencias Federales Etiquetadas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sz w:val="20"/>
                <w:szCs w:val="22"/>
              </w:rPr>
              <w:t>-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  <w:hideMark/>
          </w:tcPr>
          <w:p w:rsidR="0049489D" w:rsidRPr="0049489D" w:rsidRDefault="0049489D" w:rsidP="0049489D">
            <w:pPr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TOTAL DE TRANSFERENCIAS FEDERALES ETIQUETADAS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17,147,781,942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color w:val="000000"/>
                <w:sz w:val="20"/>
                <w:szCs w:val="20"/>
              </w:rPr>
              <w:t>18,250,748,273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b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b/>
                <w:color w:val="385623" w:themeColor="accent6" w:themeShade="80"/>
                <w:sz w:val="20"/>
                <w:szCs w:val="22"/>
              </w:rPr>
              <w:t>6.43%</w:t>
            </w:r>
          </w:p>
        </w:tc>
      </w:tr>
      <w:tr w:rsidR="0049489D" w:rsidRPr="0049489D" w:rsidTr="0049489D">
        <w:trPr>
          <w:trHeight w:val="237"/>
        </w:trPr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>TOTAL DE INGRESOS A PERCIBIR EN EL EJERCICIO 2022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>43,268,740,689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49489D">
              <w:rPr>
                <w:rFonts w:ascii="HK Grotesk" w:hAnsi="HK Grotesk" w:cs="Calibri"/>
                <w:b/>
                <w:bCs/>
                <w:sz w:val="20"/>
                <w:szCs w:val="20"/>
              </w:rPr>
              <w:t>47,421,204,947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:rsidR="0049489D" w:rsidRPr="0049489D" w:rsidRDefault="0049489D" w:rsidP="0049489D">
            <w:pPr>
              <w:jc w:val="center"/>
              <w:rPr>
                <w:rFonts w:ascii="HK Grotesk" w:hAnsi="HK Grotesk" w:cs="Calibri"/>
                <w:b/>
                <w:color w:val="385623" w:themeColor="accent6" w:themeShade="80"/>
                <w:sz w:val="20"/>
                <w:szCs w:val="22"/>
              </w:rPr>
            </w:pPr>
            <w:r w:rsidRPr="0049489D">
              <w:rPr>
                <w:rFonts w:ascii="HK Grotesk" w:hAnsi="HK Grotesk" w:cs="Calibri"/>
                <w:b/>
                <w:color w:val="385623" w:themeColor="accent6" w:themeShade="80"/>
                <w:sz w:val="20"/>
                <w:szCs w:val="22"/>
              </w:rPr>
              <w:t>9.60%</w:t>
            </w:r>
          </w:p>
        </w:tc>
      </w:tr>
    </w:tbl>
    <w:p w:rsidR="009527AF" w:rsidRPr="0049489D" w:rsidRDefault="009527AF" w:rsidP="009527AF">
      <w:pPr>
        <w:rPr>
          <w:rFonts w:ascii="HK Grotesk" w:hAnsi="HK Grotesk"/>
          <w:sz w:val="22"/>
        </w:rPr>
      </w:pPr>
    </w:p>
    <w:p w:rsidR="009527AF" w:rsidRPr="0049489D" w:rsidRDefault="00BC1863" w:rsidP="00BB4762">
      <w:pPr>
        <w:jc w:val="both"/>
        <w:rPr>
          <w:rFonts w:ascii="HK Grotesk" w:hAnsi="HK Grotesk"/>
          <w:sz w:val="22"/>
        </w:rPr>
      </w:pPr>
      <w:r w:rsidRPr="0049489D">
        <w:rPr>
          <w:rFonts w:ascii="HK Grotesk" w:hAnsi="HK Grotesk"/>
          <w:sz w:val="22"/>
        </w:rPr>
        <w:t>Al cierre del ejercicio 2022</w:t>
      </w:r>
      <w:r w:rsidR="009527AF" w:rsidRPr="0049489D">
        <w:rPr>
          <w:rFonts w:ascii="HK Grotesk" w:hAnsi="HK Grotesk"/>
          <w:sz w:val="22"/>
        </w:rPr>
        <w:t xml:space="preserve"> todos los conceptos por los que se obtuvieron ingresos fueron mayores a lo estimado en la Ley d</w:t>
      </w:r>
      <w:r w:rsidR="0049489D">
        <w:rPr>
          <w:rFonts w:ascii="HK Grotesk" w:hAnsi="HK Grotesk"/>
          <w:sz w:val="22"/>
        </w:rPr>
        <w:t xml:space="preserve">e Ingresos para dicho ejercicio, siendo el de mayor incremento </w:t>
      </w:r>
      <w:r w:rsidR="00DB487B">
        <w:rPr>
          <w:rFonts w:ascii="HK Grotesk" w:hAnsi="HK Grotesk"/>
          <w:sz w:val="22"/>
        </w:rPr>
        <w:t>el rubro de</w:t>
      </w:r>
      <w:bookmarkStart w:id="0" w:name="_GoBack"/>
      <w:bookmarkEnd w:id="0"/>
      <w:r w:rsidR="0049489D">
        <w:rPr>
          <w:rFonts w:ascii="HK Grotesk" w:hAnsi="HK Grotesk"/>
          <w:sz w:val="22"/>
        </w:rPr>
        <w:t xml:space="preserve"> Productos con un 118.89% superior al estimado.</w:t>
      </w:r>
    </w:p>
    <w:p w:rsidR="009527AF" w:rsidRPr="0049489D" w:rsidRDefault="009527AF" w:rsidP="00BB4762">
      <w:pPr>
        <w:jc w:val="both"/>
        <w:rPr>
          <w:rFonts w:ascii="HK Grotesk" w:hAnsi="HK Grotesk"/>
          <w:sz w:val="22"/>
        </w:rPr>
      </w:pPr>
    </w:p>
    <w:p w:rsidR="003E67A3" w:rsidRPr="0049489D" w:rsidRDefault="009527AF" w:rsidP="00BB4762">
      <w:pPr>
        <w:autoSpaceDE w:val="0"/>
        <w:autoSpaceDN w:val="0"/>
        <w:adjustRightInd w:val="0"/>
        <w:jc w:val="both"/>
        <w:rPr>
          <w:rFonts w:ascii="HK Grotesk" w:eastAsia="Calibri" w:hAnsi="HK Grotesk" w:cs="Arial"/>
          <w:spacing w:val="-1"/>
          <w:sz w:val="22"/>
          <w:szCs w:val="17"/>
        </w:rPr>
      </w:pPr>
      <w:r w:rsidRPr="0049489D">
        <w:rPr>
          <w:rFonts w:ascii="HK Grotesk" w:eastAsia="Calibri" w:hAnsi="HK Grotesk" w:cs="Arial"/>
          <w:spacing w:val="-1"/>
          <w:sz w:val="22"/>
          <w:szCs w:val="17"/>
        </w:rPr>
        <w:t>El detalle se presenta en la información Presupuestaria del Tomo III de la presente Cuenta Pública</w:t>
      </w:r>
      <w:r w:rsidR="00BB4762" w:rsidRPr="0049489D">
        <w:rPr>
          <w:rFonts w:ascii="HK Grotesk" w:eastAsia="Calibri" w:hAnsi="HK Grotesk" w:cs="Arial"/>
          <w:spacing w:val="-1"/>
          <w:sz w:val="22"/>
          <w:szCs w:val="17"/>
        </w:rPr>
        <w:t>.</w:t>
      </w:r>
    </w:p>
    <w:sectPr w:rsidR="003E67A3" w:rsidRPr="0049489D" w:rsidSect="006B5112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BC" w:rsidRDefault="00D325BC">
      <w:r>
        <w:separator/>
      </w:r>
    </w:p>
  </w:endnote>
  <w:endnote w:type="continuationSeparator" w:id="0">
    <w:p w:rsidR="00D325BC" w:rsidRDefault="00D3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2DAAF5" wp14:editId="1104430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B5112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22771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5B" w:rsidRPr="00CF00D0" w:rsidRDefault="00D33A5B" w:rsidP="00D33A5B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C756D" wp14:editId="0681C98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CBCFE" id="Rectángulo 19" o:spid="_x0000_s1026" style="position:absolute;margin-left:0;margin-top:0;width:664.75pt;height:3.5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PBMgzF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22771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22771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BC" w:rsidRDefault="00D325BC">
      <w:r>
        <w:separator/>
      </w:r>
    </w:p>
  </w:footnote>
  <w:footnote w:type="continuationSeparator" w:id="0">
    <w:p w:rsidR="00D325BC" w:rsidRDefault="00D3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20" w:rsidRPr="00712850" w:rsidRDefault="00243B20" w:rsidP="00243B20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36EBBB" wp14:editId="1CFE68CF">
              <wp:simplePos x="0" y="0"/>
              <wp:positionH relativeFrom="margin">
                <wp:posOffset>-152400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B20" w:rsidRPr="00243B20" w:rsidRDefault="00243B20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243B20" w:rsidRPr="00243B20" w:rsidRDefault="00243B20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6EB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pt;margin-top:-29.6pt;width:14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" stroked="f">
              <v:textbox>
                <w:txbxContent>
                  <w:p w:rsidR="00243B20" w:rsidRPr="00243B20" w:rsidRDefault="00243B20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243B20" w:rsidRPr="00243B20" w:rsidRDefault="00243B20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67079B0C" wp14:editId="29D41100">
          <wp:simplePos x="0" y="0"/>
          <wp:positionH relativeFrom="column">
            <wp:posOffset>6800850</wp:posOffset>
          </wp:positionH>
          <wp:positionV relativeFrom="paragraph">
            <wp:posOffset>-495300</wp:posOffset>
          </wp:positionV>
          <wp:extent cx="1543050" cy="681619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8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</w:p>
  <w:p w:rsidR="00AA7547" w:rsidRPr="002809DB" w:rsidRDefault="00243B20" w:rsidP="00627A77">
    <w:pPr>
      <w:rPr>
        <w:rFonts w:ascii="Soberana Sans Light" w:hAnsi="Soberana Sans Light"/>
        <w:b/>
        <w:sz w:val="20"/>
        <w:szCs w:val="20"/>
      </w:rPr>
    </w:pPr>
    <w:r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9CE738" wp14:editId="695F2E5A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8442773" cy="45719"/>
              <wp:effectExtent l="0" t="0" r="15875" b="1206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95621" id="Rectángulo 12" o:spid="_x0000_s1026" style="position:absolute;margin-left:613.6pt;margin-top:5.35pt;width:664.8pt;height:3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ag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712850" w:rsidRDefault="00DF3843" w:rsidP="00823211">
    <w:pPr>
      <w:jc w:val="center"/>
      <w:rPr>
        <w:rFonts w:ascii="HK Grotesk" w:hAnsi="HK Grotesk"/>
        <w:b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85888" behindDoc="1" locked="0" layoutInCell="1" allowOverlap="1" wp14:anchorId="28EAE084" wp14:editId="55B3EFA9">
          <wp:simplePos x="0" y="0"/>
          <wp:positionH relativeFrom="column">
            <wp:posOffset>6697089</wp:posOffset>
          </wp:positionH>
          <wp:positionV relativeFrom="paragraph">
            <wp:posOffset>-460655</wp:posOffset>
          </wp:positionV>
          <wp:extent cx="1721485" cy="64262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4" b="2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B2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B7BA556" wp14:editId="21829069">
              <wp:simplePos x="0" y="0"/>
              <wp:positionH relativeFrom="margin">
                <wp:posOffset>-180975</wp:posOffset>
              </wp:positionH>
              <wp:positionV relativeFrom="paragraph">
                <wp:posOffset>-375920</wp:posOffset>
              </wp:positionV>
              <wp:extent cx="1809750" cy="561975"/>
              <wp:effectExtent l="0" t="0" r="0" b="952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B20" w:rsidRPr="00243B20" w:rsidRDefault="00243B20" w:rsidP="00243B20">
                          <w:pPr>
                            <w:jc w:val="center"/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43B20">
                            <w:rPr>
                              <w:rFonts w:ascii="HK Grotesk" w:hAnsi="HK Grotesk" w:cs="Arial"/>
                              <w:color w:val="808080"/>
                              <w:sz w:val="20"/>
                              <w:szCs w:val="20"/>
                            </w:rPr>
                            <w:t>Cuenta Pública Estatal</w:t>
                          </w:r>
                        </w:p>
                        <w:p w:rsidR="00243B20" w:rsidRPr="00243B20" w:rsidRDefault="00DF3843" w:rsidP="00243B20">
                          <w:pPr>
                            <w:jc w:val="center"/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</w:pPr>
                          <w:r>
                            <w:rPr>
                              <w:rFonts w:ascii="HK Grotesk" w:hAnsi="HK Grotesk" w:cs="Arial"/>
                              <w:b/>
                              <w:color w:val="808080"/>
                              <w:sz w:val="32"/>
                              <w:szCs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BA5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.25pt;margin-top:-29.6pt;width:142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" stroked="f">
              <v:textbox>
                <w:txbxContent>
                  <w:p w:rsidR="00243B20" w:rsidRPr="00243B20" w:rsidRDefault="00243B20" w:rsidP="00243B20">
                    <w:pPr>
                      <w:jc w:val="center"/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</w:pPr>
                    <w:r w:rsidRPr="00243B20">
                      <w:rPr>
                        <w:rFonts w:ascii="HK Grotesk" w:hAnsi="HK Grotesk" w:cs="Arial"/>
                        <w:color w:val="808080"/>
                        <w:sz w:val="20"/>
                        <w:szCs w:val="20"/>
                      </w:rPr>
                      <w:t>Cuenta Pública Estatal</w:t>
                    </w:r>
                  </w:p>
                  <w:p w:rsidR="00243B20" w:rsidRPr="00243B20" w:rsidRDefault="00DF3843" w:rsidP="00243B20">
                    <w:pPr>
                      <w:jc w:val="center"/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</w:pPr>
                    <w:r>
                      <w:rPr>
                        <w:rFonts w:ascii="HK Grotesk" w:hAnsi="HK Grotesk" w:cs="Arial"/>
                        <w:b/>
                        <w:color w:val="808080"/>
                        <w:sz w:val="32"/>
                        <w:szCs w:val="20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42679" w:rsidRPr="00712850">
      <w:rPr>
        <w:rFonts w:ascii="HK Grotesk" w:hAnsi="HK Grotesk" w:cs="Arial"/>
        <w:b/>
        <w:caps/>
        <w:noProof/>
        <w:color w:val="808080"/>
        <w:sz w:val="20"/>
        <w:szCs w:val="20"/>
      </w:rPr>
      <w:t>ESTADO DE QUERÉTARO</w:t>
    </w:r>
    <w:r w:rsidR="00AA7547" w:rsidRPr="00712850">
      <w:rPr>
        <w:rFonts w:ascii="HK Grotesk" w:hAnsi="HK Grotes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3D53D" wp14:editId="289869B7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E7218"/>
    <w:rsid w:val="000F0E37"/>
    <w:rsid w:val="000F12DA"/>
    <w:rsid w:val="000F17A5"/>
    <w:rsid w:val="000F2A98"/>
    <w:rsid w:val="000F3271"/>
    <w:rsid w:val="000F44F2"/>
    <w:rsid w:val="000F72A0"/>
    <w:rsid w:val="000F730E"/>
    <w:rsid w:val="000F74C6"/>
    <w:rsid w:val="000F79B7"/>
    <w:rsid w:val="001000AE"/>
    <w:rsid w:val="00101379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269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B4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26A2"/>
    <w:rsid w:val="00203925"/>
    <w:rsid w:val="00203F78"/>
    <w:rsid w:val="00205485"/>
    <w:rsid w:val="00206284"/>
    <w:rsid w:val="00207EF6"/>
    <w:rsid w:val="00211037"/>
    <w:rsid w:val="00211BB2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3B20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662"/>
    <w:rsid w:val="00253F02"/>
    <w:rsid w:val="00254118"/>
    <w:rsid w:val="002543BF"/>
    <w:rsid w:val="00255338"/>
    <w:rsid w:val="002561E9"/>
    <w:rsid w:val="00256C7C"/>
    <w:rsid w:val="00260BA7"/>
    <w:rsid w:val="00261B2B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1C64"/>
    <w:rsid w:val="002C326D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D7EC6"/>
    <w:rsid w:val="002E350B"/>
    <w:rsid w:val="002E3F8E"/>
    <w:rsid w:val="002E5A45"/>
    <w:rsid w:val="002E6460"/>
    <w:rsid w:val="002E7C39"/>
    <w:rsid w:val="002F0F48"/>
    <w:rsid w:val="002F1704"/>
    <w:rsid w:val="002F3B94"/>
    <w:rsid w:val="002F4490"/>
    <w:rsid w:val="002F4627"/>
    <w:rsid w:val="002F6A33"/>
    <w:rsid w:val="002F6FB1"/>
    <w:rsid w:val="002F7886"/>
    <w:rsid w:val="002F7E0B"/>
    <w:rsid w:val="00300909"/>
    <w:rsid w:val="003017B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0B1D"/>
    <w:rsid w:val="00331133"/>
    <w:rsid w:val="00331243"/>
    <w:rsid w:val="0033302B"/>
    <w:rsid w:val="00335483"/>
    <w:rsid w:val="00336A72"/>
    <w:rsid w:val="0033701B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4BA"/>
    <w:rsid w:val="00352675"/>
    <w:rsid w:val="0035364A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3EC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214"/>
    <w:rsid w:val="00436CA6"/>
    <w:rsid w:val="00441C6F"/>
    <w:rsid w:val="0044221B"/>
    <w:rsid w:val="004440E5"/>
    <w:rsid w:val="00444534"/>
    <w:rsid w:val="00444ED5"/>
    <w:rsid w:val="004456AB"/>
    <w:rsid w:val="00445B44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489D"/>
    <w:rsid w:val="00495D64"/>
    <w:rsid w:val="0049681E"/>
    <w:rsid w:val="00497797"/>
    <w:rsid w:val="004A0C97"/>
    <w:rsid w:val="004A1368"/>
    <w:rsid w:val="004A1C34"/>
    <w:rsid w:val="004A5D1B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2C6A"/>
    <w:rsid w:val="004D385F"/>
    <w:rsid w:val="004D3D88"/>
    <w:rsid w:val="004D4D3B"/>
    <w:rsid w:val="004D5C5B"/>
    <w:rsid w:val="004D5CB7"/>
    <w:rsid w:val="004D6155"/>
    <w:rsid w:val="004D6633"/>
    <w:rsid w:val="004D6FDA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17C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1DF0"/>
    <w:rsid w:val="00502074"/>
    <w:rsid w:val="005020F5"/>
    <w:rsid w:val="005027C2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1864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916"/>
    <w:rsid w:val="00557E69"/>
    <w:rsid w:val="00560A3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3862"/>
    <w:rsid w:val="00574885"/>
    <w:rsid w:val="0057495B"/>
    <w:rsid w:val="00575E9B"/>
    <w:rsid w:val="005762C1"/>
    <w:rsid w:val="00577C22"/>
    <w:rsid w:val="00577F5D"/>
    <w:rsid w:val="00580C05"/>
    <w:rsid w:val="005820E1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1C02"/>
    <w:rsid w:val="005B218B"/>
    <w:rsid w:val="005B3317"/>
    <w:rsid w:val="005B3DDB"/>
    <w:rsid w:val="005B4512"/>
    <w:rsid w:val="005B4559"/>
    <w:rsid w:val="005B4B5E"/>
    <w:rsid w:val="005B6BFE"/>
    <w:rsid w:val="005B7161"/>
    <w:rsid w:val="005B7481"/>
    <w:rsid w:val="005C1DAF"/>
    <w:rsid w:val="005C2FFF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6E55"/>
    <w:rsid w:val="005E767D"/>
    <w:rsid w:val="005F1655"/>
    <w:rsid w:val="005F16E5"/>
    <w:rsid w:val="005F1A84"/>
    <w:rsid w:val="005F1B6C"/>
    <w:rsid w:val="005F371E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553"/>
    <w:rsid w:val="00684CB6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5112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2850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502E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02D9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4E4B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2CB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C39"/>
    <w:rsid w:val="00867D7C"/>
    <w:rsid w:val="008710D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0D93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4CDD"/>
    <w:rsid w:val="008F6047"/>
    <w:rsid w:val="008F6899"/>
    <w:rsid w:val="008F6D32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2771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7AF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2E64"/>
    <w:rsid w:val="009831AF"/>
    <w:rsid w:val="0098330C"/>
    <w:rsid w:val="009840CE"/>
    <w:rsid w:val="00984E02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5E86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4DEA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67C1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5AFB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D29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4762"/>
    <w:rsid w:val="00BB5724"/>
    <w:rsid w:val="00BB694C"/>
    <w:rsid w:val="00BC0DE0"/>
    <w:rsid w:val="00BC0EE8"/>
    <w:rsid w:val="00BC14AB"/>
    <w:rsid w:val="00BC1863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126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4E7F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902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6159"/>
    <w:rsid w:val="00CB7D39"/>
    <w:rsid w:val="00CC0C17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17AA9"/>
    <w:rsid w:val="00D21A66"/>
    <w:rsid w:val="00D21E95"/>
    <w:rsid w:val="00D22622"/>
    <w:rsid w:val="00D227F7"/>
    <w:rsid w:val="00D23065"/>
    <w:rsid w:val="00D2380C"/>
    <w:rsid w:val="00D24999"/>
    <w:rsid w:val="00D24A96"/>
    <w:rsid w:val="00D2655A"/>
    <w:rsid w:val="00D265DE"/>
    <w:rsid w:val="00D270C7"/>
    <w:rsid w:val="00D272A3"/>
    <w:rsid w:val="00D308F2"/>
    <w:rsid w:val="00D3138F"/>
    <w:rsid w:val="00D325BC"/>
    <w:rsid w:val="00D33384"/>
    <w:rsid w:val="00D33A5B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63A8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873B9"/>
    <w:rsid w:val="00D87EA1"/>
    <w:rsid w:val="00D90E05"/>
    <w:rsid w:val="00D92EA5"/>
    <w:rsid w:val="00D93E48"/>
    <w:rsid w:val="00D93E81"/>
    <w:rsid w:val="00DA0B33"/>
    <w:rsid w:val="00DA1FE4"/>
    <w:rsid w:val="00DA298F"/>
    <w:rsid w:val="00DA2F3A"/>
    <w:rsid w:val="00DA5A49"/>
    <w:rsid w:val="00DB0631"/>
    <w:rsid w:val="00DB2091"/>
    <w:rsid w:val="00DB487B"/>
    <w:rsid w:val="00DB5E0C"/>
    <w:rsid w:val="00DB6BF6"/>
    <w:rsid w:val="00DB6FEE"/>
    <w:rsid w:val="00DB79DC"/>
    <w:rsid w:val="00DB7BFF"/>
    <w:rsid w:val="00DC25BE"/>
    <w:rsid w:val="00DC278F"/>
    <w:rsid w:val="00DC35F0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20C9"/>
    <w:rsid w:val="00DE4749"/>
    <w:rsid w:val="00DF083D"/>
    <w:rsid w:val="00DF31EA"/>
    <w:rsid w:val="00DF3843"/>
    <w:rsid w:val="00DF3918"/>
    <w:rsid w:val="00DF45B6"/>
    <w:rsid w:val="00DF5BAB"/>
    <w:rsid w:val="00DF5E25"/>
    <w:rsid w:val="00DF74BA"/>
    <w:rsid w:val="00E03F6F"/>
    <w:rsid w:val="00E0405A"/>
    <w:rsid w:val="00E072DC"/>
    <w:rsid w:val="00E11725"/>
    <w:rsid w:val="00E11F25"/>
    <w:rsid w:val="00E12775"/>
    <w:rsid w:val="00E12997"/>
    <w:rsid w:val="00E129A5"/>
    <w:rsid w:val="00E12CE6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188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E80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5FED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68C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6D14C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jhernandezra\Documents\CUENTA%20P&#218;BLICA\2022\Tomo%20I\Tomo%201.xlsx" TargetMode="External"/></Relationships>
</file>

<file path=word/charts/chart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Ingresos!$B$32:$B$33</cx:f>
        <cx:lvl ptCount="2">
          <cx:pt idx="0">Estimado</cx:pt>
          <cx:pt idx="1">Recaudado</cx:pt>
        </cx:lvl>
      </cx:strDim>
      <cx:numDim type="val">
        <cx:f>Ingresos!$C$32:$C$33</cx:f>
        <cx:lvl ptCount="2" formatCode="_-&quot;$&quot;* #,##0.00_-;\-&quot;$&quot;* #,##0.00_-;_-&quot;$&quot;* &quot;-&quot;??_-;_-@_-">
          <cx:pt idx="0">43268740689</cx:pt>
          <cx:pt idx="1">47421204946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 b="1">
                <a:solidFill>
                  <a:schemeClr val="tx1"/>
                </a:solidFill>
              </a:defRPr>
            </a:pPr>
            <a:r>
              <a:rPr lang="es-MX" b="1">
                <a:solidFill>
                  <a:schemeClr val="tx1"/>
                </a:solidFill>
                <a:latin typeface="HK Grotesk" panose="00000500000000000000" pitchFamily="50" charset="0"/>
              </a:rPr>
              <a:t>Recaudación</a:t>
            </a:r>
          </a:p>
        </cx:rich>
      </cx:tx>
    </cx:title>
    <cx:plotArea>
      <cx:plotAreaRegion>
        <cx:series layoutId="waterfall" uniqueId="{A1471372-C55F-4DA7-9260-70AC204E6D2A}">
          <cx:dataPt idx="0">
            <cx:spPr>
              <a:solidFill>
                <a:srgbClr val="CC6600"/>
              </a:solidFill>
            </cx:spPr>
          </cx:dataPt>
          <cx:dataPt idx="1">
            <cx:spPr>
              <a:solidFill>
                <a:srgbClr val="008000"/>
              </a:solidFill>
            </cx:spPr>
          </cx:dataPt>
          <cx:dataLabels pos="ctr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es-ES" sz="1600" b="1" i="0" u="none" strike="noStrike" kern="1200" baseline="0">
                    <a:solidFill>
                      <a:schemeClr val="bg1"/>
                    </a:solidFill>
                    <a:latin typeface="HK Grotesk" panose="00000500000000000000" pitchFamily="50" charset="0"/>
                    <a:ea typeface="HK Grotesk" panose="00000500000000000000" pitchFamily="50" charset="0"/>
                    <a:cs typeface="HK Grotesk" panose="00000500000000000000" pitchFamily="50" charset="0"/>
                  </a:defRPr>
                </a:pPr>
                <a:endParaRPr lang="es-MX" sz="1600" b="1">
                  <a:solidFill>
                    <a:schemeClr val="bg1"/>
                  </a:solidFill>
                  <a:latin typeface="HK Grotesk" panose="00000500000000000000" pitchFamily="50" charset="0"/>
                </a:endParaRPr>
              </a:p>
            </cx:txPr>
            <cx:visibility seriesName="0" categoryName="0" value="1"/>
            <cx:separator>, </cx:separator>
            <cx:dataLabel idx="1" pos="ctr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r>
                    <a:rPr lang="es-MX" sz="1600" b="1">
                      <a:solidFill>
                        <a:schemeClr val="bg1"/>
                      </a:solidFill>
                      <a:latin typeface="HK Grotesk" panose="00000500000000000000" pitchFamily="50" charset="0"/>
                    </a:rPr>
                    <a:t> $47,421,204,946.00 </a:t>
                  </a:r>
                </a:p>
              </cx:txPr>
              <cx:visibility seriesName="0" categoryName="0" value="1"/>
              <cx:separator>, </cx:separator>
            </cx:dataLabel>
          </cx:dataLabels>
          <cx:dataId val="0"/>
          <cx:layoutPr>
            <cx:subtotals/>
          </cx:layoutPr>
        </cx:series>
      </cx:plotAreaRegion>
      <cx:axis id="0">
        <cx:catScaling gapWidth="0.5"/>
        <cx:tickLabels/>
        <cx:txPr>
          <a:bodyPr spcFirstLastPara="1" vertOverflow="ellipsis" wrap="square" lIns="0" tIns="0" rIns="0" bIns="0" anchor="ctr" anchorCtr="1"/>
          <a:lstStyle/>
          <a:p>
            <a:pPr>
              <a:defRPr sz="1200" b="1">
                <a:solidFill>
                  <a:schemeClr val="tx1"/>
                </a:solidFill>
                <a:latin typeface="HK Grotesk" panose="00000500000000000000" pitchFamily="50" charset="0"/>
                <a:ea typeface="HK Grotesk" panose="00000500000000000000" pitchFamily="50" charset="0"/>
                <a:cs typeface="HK Grotesk" panose="00000500000000000000" pitchFamily="50" charset="0"/>
              </a:defRPr>
            </a:pPr>
            <a:endParaRPr lang="es-MX" sz="1200" b="1">
              <a:solidFill>
                <a:schemeClr val="tx1"/>
              </a:solidFill>
              <a:latin typeface="HK Grotesk" panose="00000500000000000000" pitchFamily="50" charset="0"/>
            </a:endParaRPr>
          </a:p>
        </cx:txPr>
      </cx:axis>
      <cx:axis id="1" hidden="1">
        <cx:valScaling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  <cs:bodyPr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  <cs:bodyPr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6A5BDC5-01E0-47BB-97F3-37349997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Ramírez, José</dc:creator>
  <cp:keywords/>
  <cp:lastModifiedBy>Hernández Ramírez, José</cp:lastModifiedBy>
  <cp:revision>28</cp:revision>
  <cp:lastPrinted>2023-02-22T15:54:00Z</cp:lastPrinted>
  <dcterms:created xsi:type="dcterms:W3CDTF">2023-02-01T20:39:00Z</dcterms:created>
  <dcterms:modified xsi:type="dcterms:W3CDTF">2023-02-22T15:57:00Z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