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AF" w:rsidRPr="00712850" w:rsidRDefault="00521C83" w:rsidP="008700AF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r>
        <w:rPr>
          <w:rFonts w:ascii="HK Grotesk" w:eastAsia="Calibri" w:hAnsi="HK Grotesk" w:cs="Arial"/>
          <w:b/>
          <w:spacing w:val="-1"/>
          <w:sz w:val="28"/>
          <w:szCs w:val="28"/>
        </w:rPr>
        <w:t>Egresos Presupuestarios</w:t>
      </w:r>
    </w:p>
    <w:p w:rsidR="008700AF" w:rsidRPr="00712850" w:rsidRDefault="008700AF" w:rsidP="008700AF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17"/>
          <w:szCs w:val="17"/>
        </w:rPr>
      </w:pPr>
    </w:p>
    <w:p w:rsidR="008700AF" w:rsidRDefault="008700AF" w:rsidP="008700AF">
      <w:pPr>
        <w:jc w:val="both"/>
        <w:rPr>
          <w:rFonts w:ascii="HK Grotesk" w:eastAsia="Calibri" w:hAnsi="HK Grotesk"/>
          <w:sz w:val="22"/>
          <w:szCs w:val="22"/>
        </w:rPr>
      </w:pPr>
      <w:r>
        <w:rPr>
          <w:rFonts w:ascii="HK Grotesk" w:eastAsia="Calibri" w:hAnsi="HK Grotesk"/>
          <w:sz w:val="22"/>
          <w:szCs w:val="22"/>
        </w:rPr>
        <w:t>E</w:t>
      </w:r>
      <w:r w:rsidR="00F23E09" w:rsidRPr="00F23E09">
        <w:rPr>
          <w:rFonts w:ascii="HK Grotesk" w:eastAsia="Calibri" w:hAnsi="HK Grotesk"/>
          <w:sz w:val="22"/>
          <w:szCs w:val="22"/>
        </w:rPr>
        <w:t xml:space="preserve">l Decreto de Presupuesto de Egresos </w:t>
      </w:r>
      <w:r w:rsidR="00521C83">
        <w:rPr>
          <w:rFonts w:ascii="HK Grotesk" w:eastAsia="Calibri" w:hAnsi="HK Grotesk"/>
          <w:sz w:val="22"/>
          <w:szCs w:val="22"/>
        </w:rPr>
        <w:t xml:space="preserve">del Estado de Querétaro </w:t>
      </w:r>
      <w:r w:rsidR="00F23E09" w:rsidRPr="00F23E09">
        <w:rPr>
          <w:rFonts w:ascii="HK Grotesk" w:eastAsia="Calibri" w:hAnsi="HK Grotesk"/>
          <w:sz w:val="22"/>
          <w:szCs w:val="22"/>
        </w:rPr>
        <w:t xml:space="preserve">es el instrumento financiero a </w:t>
      </w:r>
      <w:r>
        <w:rPr>
          <w:rFonts w:ascii="HK Grotesk" w:eastAsia="Calibri" w:hAnsi="HK Grotesk"/>
          <w:sz w:val="22"/>
          <w:szCs w:val="22"/>
        </w:rPr>
        <w:t xml:space="preserve">través del cual el Gobierno del Estado expresa las prioridades </w:t>
      </w:r>
      <w:r w:rsidR="00F23E09" w:rsidRPr="00F23E09">
        <w:rPr>
          <w:rFonts w:ascii="HK Grotesk" w:eastAsia="Calibri" w:hAnsi="HK Grotesk"/>
          <w:sz w:val="22"/>
          <w:szCs w:val="22"/>
        </w:rPr>
        <w:t>de su gestión, para dar respuesta al encargo que recibió de la sociedad y a las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="00F23E09" w:rsidRPr="00F23E09">
        <w:rPr>
          <w:rFonts w:ascii="HK Grotesk" w:eastAsia="Calibri" w:hAnsi="HK Grotesk"/>
          <w:sz w:val="22"/>
          <w:szCs w:val="22"/>
        </w:rPr>
        <w:t>necesidades de las familias queretanas.</w:t>
      </w:r>
      <w:r>
        <w:rPr>
          <w:rFonts w:ascii="HK Grotesk" w:eastAsia="Calibri" w:hAnsi="HK Grotesk"/>
          <w:sz w:val="22"/>
          <w:szCs w:val="22"/>
        </w:rPr>
        <w:t xml:space="preserve"> S</w:t>
      </w:r>
      <w:r w:rsidRPr="008700AF">
        <w:rPr>
          <w:rFonts w:ascii="HK Grotesk" w:eastAsia="Calibri" w:hAnsi="HK Grotesk"/>
          <w:sz w:val="22"/>
          <w:szCs w:val="22"/>
        </w:rPr>
        <w:t>e elaboró considerando las prioridades del desarrollo integral para el Estado de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Querét</w:t>
      </w:r>
      <w:r w:rsidR="004A2BD8">
        <w:rPr>
          <w:rFonts w:ascii="HK Grotesk" w:eastAsia="Calibri" w:hAnsi="HK Grotesk"/>
          <w:sz w:val="22"/>
          <w:szCs w:val="22"/>
        </w:rPr>
        <w:t>aro y las estimaciones que los poderes del e</w:t>
      </w:r>
      <w:r w:rsidRPr="008700AF">
        <w:rPr>
          <w:rFonts w:ascii="HK Grotesk" w:eastAsia="Calibri" w:hAnsi="HK Grotesk"/>
          <w:sz w:val="22"/>
          <w:szCs w:val="22"/>
        </w:rPr>
        <w:t>stado, los organismos autónomos y entidades paraestatales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700AF">
        <w:rPr>
          <w:rFonts w:ascii="HK Grotesk" w:eastAsia="Calibri" w:hAnsi="HK Grotesk"/>
          <w:sz w:val="22"/>
          <w:szCs w:val="22"/>
        </w:rPr>
        <w:t>realizaron a propósito de sus necesidades económic</w:t>
      </w:r>
      <w:r w:rsidR="00521C83">
        <w:rPr>
          <w:rFonts w:ascii="HK Grotesk" w:eastAsia="Calibri" w:hAnsi="HK Grotesk"/>
          <w:sz w:val="22"/>
          <w:szCs w:val="22"/>
        </w:rPr>
        <w:t>as para el ejercicio fiscal 2022</w:t>
      </w:r>
      <w:r>
        <w:rPr>
          <w:rFonts w:ascii="HK Grotesk" w:eastAsia="Calibri" w:hAnsi="HK Grotesk"/>
          <w:sz w:val="22"/>
          <w:szCs w:val="22"/>
        </w:rPr>
        <w:t>.</w:t>
      </w:r>
    </w:p>
    <w:p w:rsidR="008700AF" w:rsidRDefault="008700AF" w:rsidP="008700AF">
      <w:pPr>
        <w:jc w:val="both"/>
        <w:rPr>
          <w:rFonts w:ascii="HK Grotesk" w:eastAsia="Calibri" w:hAnsi="HK Grotesk"/>
          <w:sz w:val="22"/>
          <w:szCs w:val="22"/>
        </w:rPr>
      </w:pPr>
    </w:p>
    <w:p w:rsidR="00D84C87" w:rsidRDefault="008700AF" w:rsidP="00D84C8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8700AF">
        <w:rPr>
          <w:rFonts w:ascii="HK Grotesk" w:eastAsia="Calibri" w:hAnsi="HK Grotesk"/>
          <w:sz w:val="22"/>
          <w:szCs w:val="22"/>
        </w:rPr>
        <w:t>El Decreto considera los Criterios Generales de Política Econ</w:t>
      </w:r>
      <w:r>
        <w:rPr>
          <w:rFonts w:ascii="HK Grotesk" w:eastAsia="Calibri" w:hAnsi="HK Grotesk"/>
          <w:sz w:val="22"/>
          <w:szCs w:val="22"/>
        </w:rPr>
        <w:t xml:space="preserve">ómica para la Iniciativa de Ley de Ingresos y el Proyecto de </w:t>
      </w:r>
      <w:r w:rsidRPr="008700AF">
        <w:rPr>
          <w:rFonts w:ascii="HK Grotesk" w:eastAsia="Calibri" w:hAnsi="HK Grotesk"/>
          <w:sz w:val="22"/>
          <w:szCs w:val="22"/>
        </w:rPr>
        <w:t>Presupuesto de Egresos de la F</w:t>
      </w:r>
      <w:r w:rsidR="00D12802">
        <w:rPr>
          <w:rFonts w:ascii="HK Grotesk" w:eastAsia="Calibri" w:hAnsi="HK Grotesk"/>
          <w:sz w:val="22"/>
          <w:szCs w:val="22"/>
        </w:rPr>
        <w:t>ederación, correspondientes al e</w:t>
      </w:r>
      <w:r w:rsidRPr="008700AF">
        <w:rPr>
          <w:rFonts w:ascii="HK Grotesk" w:eastAsia="Calibri" w:hAnsi="HK Grotesk"/>
          <w:sz w:val="22"/>
          <w:szCs w:val="22"/>
        </w:rPr>
        <w:t>jercicio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="00D12802">
        <w:rPr>
          <w:rFonts w:ascii="HK Grotesk" w:eastAsia="Calibri" w:hAnsi="HK Grotesk"/>
          <w:sz w:val="22"/>
          <w:szCs w:val="22"/>
        </w:rPr>
        <w:t>f</w:t>
      </w:r>
      <w:r w:rsidRPr="008700AF">
        <w:rPr>
          <w:rFonts w:ascii="HK Grotesk" w:eastAsia="Calibri" w:hAnsi="HK Grotesk"/>
          <w:sz w:val="22"/>
          <w:szCs w:val="22"/>
        </w:rPr>
        <w:t>iscal de 202</w:t>
      </w:r>
      <w:r w:rsidR="00521C83">
        <w:rPr>
          <w:rFonts w:ascii="HK Grotesk" w:eastAsia="Calibri" w:hAnsi="HK Grotesk"/>
          <w:sz w:val="22"/>
          <w:szCs w:val="22"/>
        </w:rPr>
        <w:t>2</w:t>
      </w:r>
      <w:r w:rsidRPr="008700AF">
        <w:rPr>
          <w:rFonts w:ascii="HK Grotesk" w:eastAsia="Calibri" w:hAnsi="HK Grotesk"/>
          <w:sz w:val="22"/>
          <w:szCs w:val="22"/>
        </w:rPr>
        <w:t>, que presentó la Secretaría de Hacienda y Crédito Público al Congreso de la Unión y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="00521C83">
        <w:rPr>
          <w:rFonts w:ascii="HK Grotesk" w:eastAsia="Calibri" w:hAnsi="HK Grotesk"/>
          <w:sz w:val="22"/>
          <w:szCs w:val="22"/>
        </w:rPr>
        <w:t>en los que se estima para 2022</w:t>
      </w:r>
      <w:r w:rsidRPr="008700AF">
        <w:rPr>
          <w:rFonts w:ascii="HK Grotesk" w:eastAsia="Calibri" w:hAnsi="HK Grotesk"/>
          <w:sz w:val="22"/>
          <w:szCs w:val="22"/>
        </w:rPr>
        <w:t xml:space="preserve"> 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un crecimiento del Producto Interno</w:t>
      </w:r>
      <w:r w:rsidR="00D84C87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Bruto entre 3.6% y 4.6%, así como una inflación de 4.1% y de conformidad a las publicaciones del</w:t>
      </w:r>
      <w:r w:rsidR="00D84C87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Instituto Nacional de Estadística y Geografía (INEGI), el Estado de Querétaro ha tenido un crecimiento</w:t>
      </w:r>
      <w:r w:rsidR="00D84C87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anual del Indicador Trimestral de la Actividad Económica Estatal de 23.0% durante el segundo</w:t>
      </w:r>
      <w:r w:rsidR="00D84C87">
        <w:rPr>
          <w:rFonts w:ascii="HK Grotesk" w:eastAsia="Calibri" w:hAnsi="HK Grotesk" w:cs="Arial"/>
          <w:spacing w:val="-1"/>
          <w:sz w:val="22"/>
          <w:szCs w:val="17"/>
        </w:rPr>
        <w:t xml:space="preserve"> t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rimestre de 2021, respecto del mismo periodo del 2020, y al mes de octubre del 2021 una inflación</w:t>
      </w:r>
      <w:r w:rsidR="00D84C87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D84C87" w:rsidRPr="00AC5AFB">
        <w:rPr>
          <w:rFonts w:ascii="HK Grotesk" w:eastAsia="Calibri" w:hAnsi="HK Grotesk" w:cs="Arial"/>
          <w:spacing w:val="-1"/>
          <w:sz w:val="22"/>
          <w:szCs w:val="17"/>
        </w:rPr>
        <w:t>anual de 6.4%.</w:t>
      </w:r>
    </w:p>
    <w:p w:rsidR="00D84C87" w:rsidRDefault="00D84C87" w:rsidP="00D84C8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D84C87" w:rsidRDefault="00D84C87" w:rsidP="00D84C8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Respecto al desempleo, durante el tercer trimestre del 2021, el Estado registra una tasa del 5.7%. Se espera que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84C87">
        <w:rPr>
          <w:rFonts w:ascii="HK Grotesk" w:eastAsia="Calibri" w:hAnsi="HK Grotesk" w:cs="Arial"/>
          <w:spacing w:val="-1"/>
          <w:sz w:val="22"/>
          <w:szCs w:val="17"/>
        </w:rPr>
        <w:t>la actividad económica siga en dinamismo, a pesar de las barreras sanitarias, de tal forma que se propague la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84C87">
        <w:rPr>
          <w:rFonts w:ascii="HK Grotesk" w:eastAsia="Calibri" w:hAnsi="HK Grotesk" w:cs="Arial"/>
          <w:spacing w:val="-1"/>
          <w:sz w:val="22"/>
          <w:szCs w:val="17"/>
        </w:rPr>
        <w:t>recuperación económica en la población queretana.</w:t>
      </w:r>
    </w:p>
    <w:p w:rsidR="00D84C87" w:rsidRDefault="00D84C87" w:rsidP="00D84C8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D84C87" w:rsidRPr="00D84C87" w:rsidRDefault="00D84C87" w:rsidP="00D84C87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El objetivo de la Política de Gasto Público del Estado de Querétaro, consiste en: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Redistribuir el Ingreso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Eficientar los recursos públicos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Priorizar las necesidades de la población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Incentivar la inversión pública productiva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Propiciar el desarrollo económico, social y sectorial</w:t>
      </w:r>
    </w:p>
    <w:p w:rsidR="00D84C87" w:rsidRPr="00D84C87" w:rsidRDefault="00D84C87" w:rsidP="00D84C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84C87">
        <w:rPr>
          <w:rFonts w:ascii="HK Grotesk" w:eastAsia="Calibri" w:hAnsi="HK Grotesk" w:cs="Arial"/>
          <w:spacing w:val="-1"/>
          <w:sz w:val="22"/>
          <w:szCs w:val="17"/>
        </w:rPr>
        <w:t>Inclusión de grupos vulnerables</w:t>
      </w:r>
    </w:p>
    <w:p w:rsidR="00D84C87" w:rsidRDefault="00D84C87" w:rsidP="00D84C87">
      <w:pPr>
        <w:jc w:val="both"/>
        <w:rPr>
          <w:rFonts w:ascii="HK Grotesk" w:eastAsia="Calibri" w:hAnsi="HK Grotesk"/>
          <w:sz w:val="22"/>
          <w:szCs w:val="22"/>
        </w:rPr>
      </w:pPr>
    </w:p>
    <w:p w:rsidR="00D81CE2" w:rsidRDefault="00D84C87" w:rsidP="00F65425">
      <w:pPr>
        <w:jc w:val="both"/>
        <w:rPr>
          <w:rFonts w:ascii="HK Grotesk" w:eastAsia="Calibri" w:hAnsi="HK Grotesk"/>
          <w:sz w:val="22"/>
          <w:szCs w:val="22"/>
        </w:rPr>
      </w:pPr>
      <w:r w:rsidRPr="00D84C87">
        <w:rPr>
          <w:rFonts w:ascii="HK Grotesk" w:eastAsia="Calibri" w:hAnsi="HK Grotesk"/>
          <w:sz w:val="22"/>
          <w:szCs w:val="22"/>
        </w:rPr>
        <w:t>Atento a lo establecido en la Ley para el Manejo de los Recursos Públicos del Estado de Querétaro, así como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D84C87">
        <w:rPr>
          <w:rFonts w:ascii="HK Grotesk" w:eastAsia="Calibri" w:hAnsi="HK Grotesk"/>
          <w:sz w:val="22"/>
          <w:szCs w:val="22"/>
        </w:rPr>
        <w:t xml:space="preserve">lo previsto en la Ley de Ingresos del Estado de Querétaro para el Ejercicio Fiscal 2022, el Decreto </w:t>
      </w:r>
      <w:r>
        <w:rPr>
          <w:rFonts w:ascii="HK Grotesk" w:eastAsia="Calibri" w:hAnsi="HK Grotesk"/>
          <w:sz w:val="22"/>
          <w:szCs w:val="22"/>
        </w:rPr>
        <w:t xml:space="preserve">de Presupuesto de Egresos </w:t>
      </w:r>
      <w:r w:rsidRPr="00D84C87">
        <w:rPr>
          <w:rFonts w:ascii="HK Grotesk" w:eastAsia="Calibri" w:hAnsi="HK Grotesk"/>
          <w:sz w:val="22"/>
          <w:szCs w:val="22"/>
        </w:rPr>
        <w:t>reconoce el Financiamiento Propio a ejercerse durante el ejercicio fiscal 2022</w:t>
      </w:r>
      <w:r w:rsidR="00F65425">
        <w:rPr>
          <w:rFonts w:ascii="HK Grotesk" w:eastAsia="Calibri" w:hAnsi="HK Grotesk"/>
          <w:sz w:val="22"/>
          <w:szCs w:val="22"/>
        </w:rPr>
        <w:t xml:space="preserve">, </w:t>
      </w:r>
      <w:r>
        <w:rPr>
          <w:rFonts w:ascii="HK Grotesk" w:eastAsia="Calibri" w:hAnsi="HK Grotesk"/>
          <w:sz w:val="22"/>
          <w:szCs w:val="22"/>
        </w:rPr>
        <w:t>por lo que</w:t>
      </w:r>
      <w:r w:rsidR="0075651B">
        <w:rPr>
          <w:rFonts w:ascii="HK Grotesk" w:eastAsia="Calibri" w:hAnsi="HK Grotesk"/>
          <w:sz w:val="22"/>
          <w:szCs w:val="22"/>
        </w:rPr>
        <w:t xml:space="preserve"> e</w:t>
      </w:r>
      <w:r w:rsidR="008700AF" w:rsidRPr="008700AF">
        <w:rPr>
          <w:rFonts w:ascii="HK Grotesk" w:eastAsia="Calibri" w:hAnsi="HK Grotesk"/>
          <w:sz w:val="22"/>
          <w:szCs w:val="22"/>
        </w:rPr>
        <w:t xml:space="preserve">l total de los recursos estimados </w:t>
      </w:r>
      <w:r w:rsidR="0075651B">
        <w:rPr>
          <w:rFonts w:ascii="HK Grotesk" w:eastAsia="Calibri" w:hAnsi="HK Grotesk"/>
          <w:sz w:val="22"/>
          <w:szCs w:val="22"/>
        </w:rPr>
        <w:t>para ejercer durante el ejercicio</w:t>
      </w:r>
      <w:r>
        <w:rPr>
          <w:rFonts w:ascii="HK Grotesk" w:eastAsia="Calibri" w:hAnsi="HK Grotesk"/>
          <w:sz w:val="22"/>
          <w:szCs w:val="22"/>
        </w:rPr>
        <w:t xml:space="preserve"> fiscal 2022</w:t>
      </w:r>
      <w:r w:rsidR="0075651B">
        <w:rPr>
          <w:rFonts w:ascii="HK Grotesk" w:eastAsia="Calibri" w:hAnsi="HK Grotesk"/>
          <w:sz w:val="22"/>
          <w:szCs w:val="22"/>
        </w:rPr>
        <w:t xml:space="preserve"> fue de </w:t>
      </w:r>
      <w:r w:rsidR="00E0059B" w:rsidRPr="00E0059B">
        <w:rPr>
          <w:rFonts w:ascii="HK Grotesk" w:eastAsia="Calibri" w:hAnsi="HK Grotesk"/>
          <w:sz w:val="22"/>
          <w:szCs w:val="22"/>
        </w:rPr>
        <w:t>$</w:t>
      </w:r>
      <w:r w:rsidRPr="00D84C87">
        <w:t xml:space="preserve"> </w:t>
      </w:r>
      <w:r w:rsidRPr="00D84C87">
        <w:rPr>
          <w:rFonts w:ascii="HK Grotesk" w:eastAsia="Calibri" w:hAnsi="HK Grotesk"/>
          <w:sz w:val="22"/>
          <w:szCs w:val="22"/>
        </w:rPr>
        <w:t>45,898,415,221</w:t>
      </w:r>
      <w:r>
        <w:rPr>
          <w:rFonts w:ascii="HK Grotesk" w:eastAsia="Calibri" w:hAnsi="HK Grotesk"/>
          <w:sz w:val="22"/>
          <w:szCs w:val="22"/>
        </w:rPr>
        <w:t xml:space="preserve"> (</w:t>
      </w:r>
      <w:r w:rsidR="00F65425" w:rsidRPr="00F65425">
        <w:rPr>
          <w:rFonts w:ascii="HK Grotesk" w:eastAsia="Calibri" w:hAnsi="HK Grotesk"/>
          <w:sz w:val="22"/>
          <w:szCs w:val="22"/>
        </w:rPr>
        <w:t>Cuarenta y cinco mil ochocientos noventa y ocho</w:t>
      </w:r>
      <w:r w:rsidR="00F65425">
        <w:rPr>
          <w:rFonts w:ascii="HK Grotesk" w:eastAsia="Calibri" w:hAnsi="HK Grotesk"/>
          <w:sz w:val="22"/>
          <w:szCs w:val="22"/>
        </w:rPr>
        <w:t xml:space="preserve"> </w:t>
      </w:r>
      <w:r w:rsidR="00F65425" w:rsidRPr="00F65425">
        <w:rPr>
          <w:rFonts w:ascii="HK Grotesk" w:eastAsia="Calibri" w:hAnsi="HK Grotesk"/>
          <w:sz w:val="22"/>
          <w:szCs w:val="22"/>
        </w:rPr>
        <w:t>millones cuatrocientos quince mil doscientos veintiún pesos 00/100 M.N)</w:t>
      </w:r>
      <w:r w:rsidR="008A6423">
        <w:rPr>
          <w:rFonts w:ascii="HK Grotesk" w:eastAsia="Calibri" w:hAnsi="HK Grotesk"/>
          <w:sz w:val="22"/>
          <w:szCs w:val="22"/>
        </w:rPr>
        <w:t xml:space="preserve"> como se detalla a continuación:</w:t>
      </w:r>
    </w:p>
    <w:p w:rsidR="007A25B5" w:rsidRPr="007A25B5" w:rsidRDefault="007A25B5" w:rsidP="00F65425">
      <w:pPr>
        <w:jc w:val="both"/>
        <w:rPr>
          <w:rFonts w:ascii="HK Grotesk" w:eastAsia="Calibri" w:hAnsi="HK Grotesk"/>
          <w:b/>
          <w:sz w:val="22"/>
          <w:szCs w:val="22"/>
        </w:rPr>
      </w:pPr>
      <w:r w:rsidRPr="007A25B5">
        <w:rPr>
          <w:rFonts w:ascii="HK Grotesk" w:eastAsia="Calibri" w:hAnsi="HK Grotesk"/>
          <w:b/>
          <w:sz w:val="22"/>
          <w:szCs w:val="22"/>
        </w:rPr>
        <w:lastRenderedPageBreak/>
        <w:t>Distribución del Presupuesto de Egresos del Estado de Querétaro para el Ejercicio Fiscal 2022:</w:t>
      </w:r>
    </w:p>
    <w:p w:rsidR="007A25B5" w:rsidRDefault="007A25B5" w:rsidP="00F65425">
      <w:pPr>
        <w:jc w:val="both"/>
        <w:rPr>
          <w:rFonts w:ascii="HK Grotesk" w:eastAsia="Calibri" w:hAnsi="HK Grotesk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1"/>
        <w:gridCol w:w="3447"/>
      </w:tblGrid>
      <w:tr w:rsidR="00F65425" w:rsidRPr="003C6072" w:rsidTr="007A25B5">
        <w:trPr>
          <w:trHeight w:val="315"/>
        </w:trPr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CONCEPTO 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MONTO ESTIMADO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Municipios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7,286,272,477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al Poder Legislativo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341,267,008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al Poder Judicial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1,081,055,816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Organismos Autónomos y Tribunales Administrativos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1,626,195,488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Entidades Paraestatales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20,964,030,188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Dependencias del Sector Central y Órganos Auxiliares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4,878,336,946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Deuda Pública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Jubilaciones y Pensiones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917,969,313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Obras y Acciones Programables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8,803,287,985 </w:t>
            </w:r>
          </w:p>
        </w:tc>
      </w:tr>
      <w:tr w:rsidR="00F65425" w:rsidRPr="003C6072" w:rsidTr="007A25B5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TOTAL DE PRESUPUESTO DE EGRESOS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F65425" w:rsidRPr="003C6072" w:rsidRDefault="00F65425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$   45,898,415,221 </w:t>
            </w:r>
          </w:p>
        </w:tc>
      </w:tr>
    </w:tbl>
    <w:p w:rsidR="00026996" w:rsidRDefault="00026996" w:rsidP="00D84C87">
      <w:pPr>
        <w:ind w:left="1418" w:hanging="1418"/>
        <w:jc w:val="both"/>
        <w:rPr>
          <w:rFonts w:ascii="HK Grotesk" w:eastAsia="Calibri" w:hAnsi="HK Grotesk"/>
          <w:sz w:val="22"/>
          <w:szCs w:val="22"/>
        </w:rPr>
      </w:pPr>
    </w:p>
    <w:p w:rsidR="00A50B23" w:rsidRDefault="00805A56" w:rsidP="00805A56">
      <w:pPr>
        <w:jc w:val="both"/>
        <w:rPr>
          <w:rFonts w:ascii="HK Grotesk" w:eastAsia="Calibri" w:hAnsi="HK Grotesk"/>
          <w:sz w:val="22"/>
          <w:szCs w:val="22"/>
        </w:rPr>
      </w:pPr>
      <w:r w:rsidRPr="00805A56">
        <w:rPr>
          <w:rFonts w:ascii="HK Grotesk" w:eastAsia="Calibri" w:hAnsi="HK Grotesk"/>
          <w:sz w:val="22"/>
          <w:szCs w:val="22"/>
        </w:rPr>
        <w:t>A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05A56">
        <w:rPr>
          <w:rFonts w:ascii="HK Grotesk" w:eastAsia="Calibri" w:hAnsi="HK Grotesk"/>
          <w:sz w:val="22"/>
          <w:szCs w:val="22"/>
        </w:rPr>
        <w:t>través del Clasificador por Objeto del Gasto, se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05A56">
        <w:rPr>
          <w:rFonts w:ascii="HK Grotesk" w:eastAsia="Calibri" w:hAnsi="HK Grotesk"/>
          <w:sz w:val="22"/>
          <w:szCs w:val="22"/>
        </w:rPr>
        <w:t>registran, de forma clara y transparente, los bienes y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05A56">
        <w:rPr>
          <w:rFonts w:ascii="HK Grotesk" w:eastAsia="Calibri" w:hAnsi="HK Grotesk"/>
          <w:sz w:val="22"/>
          <w:szCs w:val="22"/>
        </w:rPr>
        <w:t xml:space="preserve">servicios </w:t>
      </w:r>
      <w:r>
        <w:rPr>
          <w:rFonts w:ascii="HK Grotesk" w:eastAsia="Calibri" w:hAnsi="HK Grotesk"/>
          <w:sz w:val="22"/>
          <w:szCs w:val="22"/>
        </w:rPr>
        <w:t>que fueron programados para el Ejercicio Fiscal 2022.</w:t>
      </w:r>
      <w:r w:rsidRPr="00805A56">
        <w:rPr>
          <w:rFonts w:ascii="HK Grotesk" w:eastAsia="Calibri" w:hAnsi="HK Grotesk"/>
          <w:sz w:val="22"/>
          <w:szCs w:val="22"/>
        </w:rPr>
        <w:t>Este se clasifica en los siguientes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05A56">
        <w:rPr>
          <w:rFonts w:ascii="HK Grotesk" w:eastAsia="Calibri" w:hAnsi="HK Grotesk"/>
          <w:sz w:val="22"/>
          <w:szCs w:val="22"/>
        </w:rPr>
        <w:t>9 rubros</w:t>
      </w:r>
      <w:r>
        <w:rPr>
          <w:rFonts w:ascii="HK Grotesk" w:eastAsia="Calibri" w:hAnsi="HK Grotesk"/>
          <w:sz w:val="22"/>
          <w:szCs w:val="22"/>
        </w:rPr>
        <w:t>:</w:t>
      </w:r>
    </w:p>
    <w:p w:rsidR="00B8276B" w:rsidRDefault="00B8276B" w:rsidP="008A6423">
      <w:pPr>
        <w:jc w:val="both"/>
        <w:rPr>
          <w:rFonts w:ascii="HK Grotesk" w:eastAsia="Calibri" w:hAnsi="HK Grotesk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821"/>
        <w:gridCol w:w="3447"/>
      </w:tblGrid>
      <w:tr w:rsidR="00805A56" w:rsidRPr="003C6072" w:rsidTr="00805A56">
        <w:trPr>
          <w:trHeight w:val="315"/>
        </w:trPr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CAPÍTULO DE ACUERDO CON EL CLASIFICADOR POR OBJETO DEL GASTO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05A56" w:rsidRPr="003C6072" w:rsidRDefault="003C6072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MONTO ESTIMADO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Servicios Personales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2,772,948,962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Materiales y Suministros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229,378,303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Servicios Generales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1,436,060,096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27,599,018,764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Bienes Muebles, Inmuebles e Intangibles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123,422,290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Inversión Pública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3,255,499,000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Inversiones Financieras y Otras Provisiones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22,819,239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Participaciones y Aportaciones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10,459,268,567 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805A5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Deuda Pública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A56" w:rsidRPr="003C6072" w:rsidRDefault="001B1F7C" w:rsidP="001B1F7C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</w:tr>
      <w:tr w:rsidR="00805A56" w:rsidRPr="003C6072" w:rsidTr="00805A56">
        <w:trPr>
          <w:trHeight w:val="315"/>
        </w:trPr>
        <w:tc>
          <w:tcPr>
            <w:tcW w:w="3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TOTAL PRESUPUESTO DE EGRESOS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05A56" w:rsidRPr="003C6072" w:rsidRDefault="00805A5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$   45,898,415,221 </w:t>
            </w:r>
          </w:p>
        </w:tc>
      </w:tr>
    </w:tbl>
    <w:p w:rsidR="000C6823" w:rsidRPr="002C2BB4" w:rsidRDefault="002C2BB4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  <w:r w:rsidRPr="002C2BB4">
        <w:rPr>
          <w:rFonts w:ascii="HK Grotesk" w:eastAsia="Calibri" w:hAnsi="HK Grotesk" w:cs="Arial"/>
          <w:b/>
          <w:spacing w:val="-1"/>
          <w:sz w:val="22"/>
          <w:szCs w:val="17"/>
        </w:rPr>
        <w:lastRenderedPageBreak/>
        <w:t>Al cierre del ejercicio 2022</w:t>
      </w:r>
      <w:r w:rsidR="000C6823" w:rsidRPr="002C2BB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 se </w:t>
      </w:r>
      <w:r w:rsidR="00B073B3" w:rsidRPr="002C2BB4">
        <w:rPr>
          <w:rFonts w:ascii="HK Grotesk" w:eastAsia="Calibri" w:hAnsi="HK Grotesk" w:cs="Arial"/>
          <w:b/>
          <w:spacing w:val="-1"/>
          <w:sz w:val="22"/>
          <w:szCs w:val="17"/>
        </w:rPr>
        <w:t>devengó</w:t>
      </w:r>
      <w:r w:rsidR="000C6823" w:rsidRPr="002C2BB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 </w:t>
      </w:r>
      <w:r w:rsidR="00840A6D" w:rsidRPr="002C2BB4">
        <w:rPr>
          <w:rFonts w:ascii="HK Grotesk" w:eastAsia="Calibri" w:hAnsi="HK Grotesk" w:cs="Arial"/>
          <w:b/>
          <w:spacing w:val="-1"/>
          <w:sz w:val="22"/>
          <w:szCs w:val="17"/>
        </w:rPr>
        <w:t>un gasto</w:t>
      </w:r>
      <w:r w:rsidR="000C6823" w:rsidRPr="002C2BB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 total de $</w:t>
      </w:r>
      <w:r w:rsidR="00940DF8">
        <w:rPr>
          <w:rFonts w:ascii="HK Grotesk" w:eastAsia="Calibri" w:hAnsi="HK Grotesk" w:cs="Arial"/>
          <w:b/>
          <w:spacing w:val="-1"/>
          <w:sz w:val="22"/>
          <w:szCs w:val="17"/>
        </w:rPr>
        <w:t>46</w:t>
      </w:r>
      <w:r w:rsidR="00940DF8" w:rsidRPr="00D12802">
        <w:rPr>
          <w:rFonts w:ascii="HK Grotesk" w:eastAsia="Calibri" w:hAnsi="HK Grotesk" w:cs="Arial"/>
          <w:b/>
          <w:color w:val="000000" w:themeColor="text1"/>
          <w:spacing w:val="-1"/>
          <w:sz w:val="22"/>
          <w:szCs w:val="17"/>
        </w:rPr>
        <w:t>,1</w:t>
      </w:r>
      <w:r w:rsidRPr="00D12802">
        <w:rPr>
          <w:rFonts w:ascii="HK Grotesk" w:eastAsia="Calibri" w:hAnsi="HK Grotesk" w:cs="Arial"/>
          <w:b/>
          <w:color w:val="000000" w:themeColor="text1"/>
          <w:spacing w:val="-1"/>
          <w:sz w:val="22"/>
          <w:szCs w:val="17"/>
        </w:rPr>
        <w:t>84,334,543</w:t>
      </w:r>
      <w:r w:rsidR="00840A6D" w:rsidRPr="00D12802">
        <w:rPr>
          <w:rFonts w:ascii="HK Grotesk" w:eastAsia="Calibri" w:hAnsi="HK Grotesk" w:cs="Arial"/>
          <w:b/>
          <w:color w:val="000000" w:themeColor="text1"/>
          <w:spacing w:val="-1"/>
          <w:sz w:val="22"/>
          <w:szCs w:val="17"/>
        </w:rPr>
        <w:t xml:space="preserve"> </w:t>
      </w:r>
      <w:r w:rsidR="00D12802" w:rsidRPr="00D12802">
        <w:rPr>
          <w:rFonts w:ascii="HK Grotesk" w:eastAsia="Calibri" w:hAnsi="HK Grotesk" w:cs="Arial"/>
          <w:b/>
          <w:color w:val="000000" w:themeColor="text1"/>
          <w:spacing w:val="-1"/>
          <w:sz w:val="22"/>
          <w:szCs w:val="17"/>
        </w:rPr>
        <w:t xml:space="preserve">(Cuarenta y seis mil setecientos ochenta y cuatro millones trescientos treinta y cuatro mil quinientos cuarenta y tres pesos 00/100 M.N.) </w:t>
      </w:r>
      <w:r w:rsidR="000C6823" w:rsidRPr="00D12802">
        <w:rPr>
          <w:rFonts w:ascii="HK Grotesk" w:eastAsia="Calibri" w:hAnsi="HK Grotesk" w:cs="Arial"/>
          <w:b/>
          <w:color w:val="000000" w:themeColor="text1"/>
          <w:spacing w:val="-1"/>
          <w:sz w:val="22"/>
          <w:szCs w:val="17"/>
        </w:rPr>
        <w:t>como se reporta a continuación:</w:t>
      </w:r>
    </w:p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2"/>
        <w:gridCol w:w="2432"/>
        <w:gridCol w:w="2266"/>
        <w:gridCol w:w="2078"/>
      </w:tblGrid>
      <w:tr w:rsidR="002C2BB4" w:rsidRPr="002C2BB4" w:rsidTr="002C2BB4">
        <w:trPr>
          <w:trHeight w:val="315"/>
        </w:trPr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C2BB4" w:rsidRPr="002C2BB4" w:rsidRDefault="002C2BB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CONCEPTO 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C2BB4" w:rsidRPr="002C2BB4" w:rsidRDefault="002C2BB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ESTIMADO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C2BB4" w:rsidRPr="002C2BB4" w:rsidRDefault="002C2BB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DEVENGADO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C2BB4" w:rsidRPr="002C2BB4" w:rsidRDefault="002C2BB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VARIACIÓN</w:t>
            </w:r>
            <w:r w:rsidR="00865346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Municipios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7,286,272,477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7,604,783,806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4.37%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al Poder Legislativo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 341,267,008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344,267,008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0.88%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al Poder Judicial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1,081,055,816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1,081,055,816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sz w:val="20"/>
              </w:rPr>
              <w:t>-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Organismos Autónomos y Tribunales Administrativos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1,626,195,488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1,622,700,488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-0.21%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 a Entidades Paraestatales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20,964,030,188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22,219,475,064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5.99%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Dependencias del Sector Central y Órganos Auxiliares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4,878,336,946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4,519,523,857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-7.36%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Deuda Pública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sz w:val="20"/>
              </w:rPr>
              <w:t>-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Jubilaciones y Pensiones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 917,969,313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905,647,410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FF0000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-1.34%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>Obras y Acciones Programables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8,803,287,985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7,886,881,095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FF0000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-10.41%</w:t>
            </w:r>
          </w:p>
        </w:tc>
      </w:tr>
      <w:tr w:rsidR="00865346" w:rsidRPr="002C2BB4" w:rsidTr="00865346">
        <w:trPr>
          <w:trHeight w:val="315"/>
        </w:trPr>
        <w:tc>
          <w:tcPr>
            <w:tcW w:w="2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TOTAL DE PRESUPUESTO DE EGRESOS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$          45,898,415,221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$       46,184,334,543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b/>
                <w:sz w:val="20"/>
              </w:rPr>
            </w:pPr>
            <w:r w:rsidRPr="00865346">
              <w:rPr>
                <w:rFonts w:ascii="HK Grotesk" w:hAnsi="HK Grotesk"/>
                <w:b/>
                <w:color w:val="FFFFFF" w:themeColor="background1"/>
                <w:sz w:val="20"/>
              </w:rPr>
              <w:t>0.62%</w:t>
            </w:r>
          </w:p>
        </w:tc>
      </w:tr>
    </w:tbl>
    <w:p w:rsidR="005617BD" w:rsidRDefault="005617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2C2BB4" w:rsidRDefault="002C2BB4" w:rsidP="002C2BB4">
      <w:pPr>
        <w:jc w:val="both"/>
        <w:rPr>
          <w:rFonts w:ascii="HK Grotesk" w:eastAsia="Calibri" w:hAnsi="HK Grotesk"/>
          <w:sz w:val="22"/>
          <w:szCs w:val="22"/>
        </w:rPr>
      </w:pPr>
      <w:r w:rsidRPr="00805A56">
        <w:rPr>
          <w:rFonts w:ascii="HK Grotesk" w:eastAsia="Calibri" w:hAnsi="HK Grotesk"/>
          <w:sz w:val="22"/>
          <w:szCs w:val="22"/>
        </w:rPr>
        <w:t>A</w:t>
      </w:r>
      <w:r>
        <w:rPr>
          <w:rFonts w:ascii="HK Grotesk" w:eastAsia="Calibri" w:hAnsi="HK Grotesk"/>
          <w:sz w:val="22"/>
          <w:szCs w:val="22"/>
        </w:rPr>
        <w:t xml:space="preserve"> </w:t>
      </w:r>
      <w:r w:rsidRPr="00805A56">
        <w:rPr>
          <w:rFonts w:ascii="HK Grotesk" w:eastAsia="Calibri" w:hAnsi="HK Grotesk"/>
          <w:sz w:val="22"/>
          <w:szCs w:val="22"/>
        </w:rPr>
        <w:t xml:space="preserve">través del Clasificador por Objeto del Gasto, </w:t>
      </w:r>
      <w:r>
        <w:rPr>
          <w:rFonts w:ascii="HK Grotesk" w:eastAsia="Calibri" w:hAnsi="HK Grotesk"/>
          <w:sz w:val="22"/>
          <w:szCs w:val="22"/>
        </w:rPr>
        <w:t>se detalla el ejercicio</w:t>
      </w:r>
      <w:r w:rsidRPr="002C2BB4">
        <w:rPr>
          <w:rFonts w:ascii="HK Grotesk" w:eastAsia="Calibri" w:hAnsi="HK Grotesk"/>
          <w:sz w:val="22"/>
          <w:szCs w:val="22"/>
        </w:rPr>
        <w:t xml:space="preserve"> de los egresos presupuestarios</w:t>
      </w:r>
      <w:r>
        <w:rPr>
          <w:rFonts w:ascii="HK Grotesk" w:eastAsia="Calibri" w:hAnsi="HK Grotesk"/>
          <w:sz w:val="22"/>
          <w:szCs w:val="22"/>
        </w:rPr>
        <w:t xml:space="preserve"> al cierre del ejercicio </w:t>
      </w:r>
      <w:r w:rsidR="00D12802">
        <w:rPr>
          <w:rFonts w:ascii="HK Grotesk" w:eastAsia="Calibri" w:hAnsi="HK Grotesk"/>
          <w:sz w:val="22"/>
          <w:szCs w:val="22"/>
        </w:rPr>
        <w:t xml:space="preserve">fiscal </w:t>
      </w:r>
      <w:r>
        <w:rPr>
          <w:rFonts w:ascii="HK Grotesk" w:eastAsia="Calibri" w:hAnsi="HK Grotesk"/>
          <w:sz w:val="22"/>
          <w:szCs w:val="22"/>
        </w:rPr>
        <w:t>2022:</w:t>
      </w:r>
    </w:p>
    <w:p w:rsidR="003958BD" w:rsidRDefault="003958BD" w:rsidP="000C682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2410"/>
        <w:gridCol w:w="2267"/>
        <w:gridCol w:w="2078"/>
      </w:tblGrid>
      <w:tr w:rsidR="001B1F7C" w:rsidTr="001B1F7C">
        <w:trPr>
          <w:trHeight w:val="315"/>
        </w:trPr>
        <w:tc>
          <w:tcPr>
            <w:tcW w:w="2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6072" w:rsidRPr="003C6072" w:rsidRDefault="003C6072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CONCEPTO 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6072" w:rsidRPr="003C6072" w:rsidRDefault="003C6072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MONTO ESTIMADO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6072" w:rsidRPr="003C6072" w:rsidRDefault="003C6072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DEVENGADO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6072" w:rsidRPr="003C6072" w:rsidRDefault="003C6072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VARIACIÓN</w:t>
            </w:r>
            <w:r w:rsidR="00865346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Servicios Personales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2,772,948,962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2,498,182,092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-9.91%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Materiales y suministros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 229,378,303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446,413,696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94.62%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Servicios generales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1,436,060,096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2,775,060,986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93.24%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27,599,018,764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27,252,503,321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-1.26%</w:t>
            </w:r>
          </w:p>
        </w:tc>
      </w:tr>
      <w:tr w:rsidR="00865346" w:rsidRPr="001B1F7C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Bienes muebles, inmuebles e intangibles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 123,422,290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131,012,201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6.15%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Inversión pública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3,255,499,000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1,594,273,451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color w:val="FF0000"/>
                <w:sz w:val="20"/>
              </w:rPr>
              <w:t>-51.03%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Inversiones financieras y otras provisiones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   22,819,239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    37,177,030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62.92%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Participaciones y aportaciones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  10,459,268,567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11,449,711,766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color w:val="00B050"/>
                <w:sz w:val="20"/>
              </w:rPr>
            </w:pPr>
            <w:r w:rsidRPr="00865346">
              <w:rPr>
                <w:rFonts w:ascii="HK Grotesk" w:hAnsi="HK Grotesk"/>
                <w:color w:val="00B050"/>
                <w:sz w:val="20"/>
              </w:rPr>
              <w:t>9.47%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3C6072" w:rsidRDefault="00865346" w:rsidP="00865346">
            <w:pPr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</w:pPr>
            <w:r w:rsidRPr="003C6072">
              <w:rPr>
                <w:rFonts w:ascii="HK Grotesk" w:hAnsi="HK Grotesk" w:cs="Calibri"/>
                <w:bCs/>
                <w:color w:val="000000"/>
                <w:sz w:val="20"/>
                <w:szCs w:val="20"/>
              </w:rPr>
              <w:t>Deuda pública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2C2BB4" w:rsidRDefault="00865346" w:rsidP="00865346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2C2BB4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sz w:val="20"/>
              </w:rPr>
            </w:pPr>
            <w:r w:rsidRPr="00865346">
              <w:rPr>
                <w:rFonts w:ascii="HK Grotesk" w:hAnsi="HK Grotesk"/>
                <w:sz w:val="20"/>
              </w:rPr>
              <w:t>-</w:t>
            </w:r>
          </w:p>
        </w:tc>
      </w:tr>
      <w:tr w:rsidR="00865346" w:rsidTr="00865346">
        <w:trPr>
          <w:trHeight w:val="315"/>
        </w:trPr>
        <w:tc>
          <w:tcPr>
            <w:tcW w:w="2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1B1F7C" w:rsidRDefault="00865346" w:rsidP="00865346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B1F7C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Total del Gasto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1B1F7C" w:rsidRDefault="00865346" w:rsidP="00865346">
            <w:pPr>
              <w:jc w:val="center"/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</w:pPr>
            <w:r w:rsidRPr="001B1F7C"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  <w:t>$         45,898,415,221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1B1F7C" w:rsidRDefault="00865346" w:rsidP="00865346">
            <w:pPr>
              <w:jc w:val="center"/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</w:pPr>
            <w:r w:rsidRPr="001B1F7C">
              <w:rPr>
                <w:rFonts w:ascii="HK Grotesk" w:hAnsi="HK Grotesk" w:cs="Calibri"/>
                <w:b/>
                <w:color w:val="FFFFFF" w:themeColor="background1"/>
                <w:sz w:val="20"/>
                <w:szCs w:val="20"/>
              </w:rPr>
              <w:t>$       46,184,334,543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865346" w:rsidRPr="00865346" w:rsidRDefault="00865346" w:rsidP="00865346">
            <w:pPr>
              <w:jc w:val="center"/>
              <w:rPr>
                <w:rFonts w:ascii="HK Grotesk" w:hAnsi="HK Grotesk"/>
                <w:b/>
                <w:sz w:val="20"/>
              </w:rPr>
            </w:pPr>
            <w:r w:rsidRPr="00865346">
              <w:rPr>
                <w:rFonts w:ascii="HK Grotesk" w:hAnsi="HK Grotesk"/>
                <w:b/>
                <w:color w:val="FFFFFF" w:themeColor="background1"/>
                <w:sz w:val="20"/>
              </w:rPr>
              <w:t>0.62%</w:t>
            </w:r>
          </w:p>
        </w:tc>
      </w:tr>
    </w:tbl>
    <w:p w:rsidR="00E86546" w:rsidRDefault="006952AD" w:rsidP="00A4309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lastRenderedPageBreak/>
        <w:t>Durante el ejercicio 2022</w:t>
      </w:r>
      <w:r w:rsidR="00E86546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, </w:t>
      </w:r>
      <w:r w:rsidR="00E86546">
        <w:rPr>
          <w:rFonts w:ascii="HK Grotesk" w:eastAsia="Calibri" w:hAnsi="HK Grotesk" w:cs="Arial"/>
          <w:spacing w:val="-1"/>
          <w:sz w:val="22"/>
          <w:szCs w:val="17"/>
        </w:rPr>
        <w:t xml:space="preserve">se devengó un gasto del </w:t>
      </w:r>
      <w:r>
        <w:rPr>
          <w:rFonts w:ascii="HK Grotesk" w:eastAsia="Calibri" w:hAnsi="HK Grotesk" w:cs="Arial"/>
          <w:spacing w:val="-1"/>
          <w:sz w:val="22"/>
          <w:szCs w:val="17"/>
        </w:rPr>
        <w:t>0.62</w:t>
      </w:r>
      <w:r w:rsidR="00E86546">
        <w:rPr>
          <w:rFonts w:ascii="HK Grotesk" w:eastAsia="Calibri" w:hAnsi="HK Grotesk" w:cs="Arial"/>
          <w:spacing w:val="-1"/>
          <w:sz w:val="22"/>
          <w:szCs w:val="17"/>
        </w:rPr>
        <w:t>% mayor al estimado e</w:t>
      </w:r>
      <w:r>
        <w:rPr>
          <w:rFonts w:ascii="HK Grotesk" w:eastAsia="Calibri" w:hAnsi="HK Grotesk" w:cs="Arial"/>
          <w:spacing w:val="-1"/>
          <w:sz w:val="22"/>
          <w:szCs w:val="17"/>
        </w:rPr>
        <w:t>n el Decreto de</w:t>
      </w:r>
      <w:r w:rsidR="00E86546">
        <w:rPr>
          <w:rFonts w:ascii="HK Grotesk" w:eastAsia="Calibri" w:hAnsi="HK Grotesk" w:cs="Arial"/>
          <w:spacing w:val="-1"/>
          <w:sz w:val="22"/>
          <w:szCs w:val="17"/>
        </w:rPr>
        <w:t xml:space="preserve"> Presupuesto de Egresos para dicho ejercicio, la mayor ampliación se presentó en </w:t>
      </w:r>
      <w:r w:rsidR="00D12802">
        <w:rPr>
          <w:rFonts w:ascii="HK Grotesk" w:eastAsia="Calibri" w:hAnsi="HK Grotesk" w:cs="Arial"/>
          <w:spacing w:val="-1"/>
          <w:sz w:val="22"/>
          <w:szCs w:val="17"/>
        </w:rPr>
        <w:t xml:space="preserve">el rubro relativo a 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las </w:t>
      </w:r>
      <w:r w:rsidRPr="006952AD">
        <w:rPr>
          <w:rFonts w:ascii="HK Grotesk" w:eastAsia="Calibri" w:hAnsi="HK Grotesk" w:cs="Arial"/>
          <w:spacing w:val="-1"/>
          <w:sz w:val="22"/>
          <w:szCs w:val="17"/>
        </w:rPr>
        <w:t>Transferencias a Entidades Paraestatales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con un 5.99% y, de conformidad con el Clasificador por Objeto del Gasto, la mayor ampliación se dio en el capítulo de Materiales y Suministros con un 94.62%.</w:t>
      </w:r>
    </w:p>
    <w:p w:rsidR="009A312D" w:rsidRDefault="009A312D" w:rsidP="00A4309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9A312D" w:rsidRDefault="009A312D" w:rsidP="00083B57">
      <w:pPr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FC028E">
        <w:rPr>
          <w:rFonts w:ascii="HK Grotesk" w:eastAsia="Calibri" w:hAnsi="HK Grotesk" w:cs="Arial"/>
          <w:spacing w:val="-1"/>
          <w:sz w:val="22"/>
          <w:szCs w:val="17"/>
        </w:rPr>
        <w:t xml:space="preserve">El </w:t>
      </w:r>
      <w:r w:rsidR="00083B57">
        <w:rPr>
          <w:rFonts w:ascii="HK Grotesk" w:eastAsia="Calibri" w:hAnsi="HK Grotesk" w:cs="Arial"/>
          <w:spacing w:val="-1"/>
          <w:sz w:val="22"/>
          <w:szCs w:val="17"/>
        </w:rPr>
        <w:t>gasto devengado supera al aprobado</w:t>
      </w:r>
      <w:r w:rsidRPr="00FC028E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083B57">
        <w:rPr>
          <w:rFonts w:ascii="HK Grotesk" w:eastAsia="Calibri" w:hAnsi="HK Grotesk" w:cs="Arial"/>
          <w:spacing w:val="-1"/>
          <w:sz w:val="22"/>
          <w:szCs w:val="17"/>
        </w:rPr>
        <w:t xml:space="preserve">por un monto de </w:t>
      </w:r>
      <w:r w:rsidR="00794B95">
        <w:rPr>
          <w:rFonts w:ascii="HK Grotesk" w:hAnsi="HK Grotesk" w:cs="Calibri"/>
          <w:color w:val="000000"/>
          <w:sz w:val="20"/>
          <w:szCs w:val="20"/>
        </w:rPr>
        <w:t>$285,919,322, la posibilidad de incrementar los egresos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 xml:space="preserve"> </w:t>
      </w:r>
      <w:r w:rsidR="00794B95">
        <w:rPr>
          <w:rFonts w:ascii="HK Grotesk" w:hAnsi="HK Grotesk" w:cs="Calibri"/>
          <w:color w:val="000000"/>
          <w:sz w:val="20"/>
          <w:szCs w:val="20"/>
        </w:rPr>
        <w:t>se debió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 xml:space="preserve"> principalmente </w:t>
      </w:r>
      <w:r w:rsidR="00083B57">
        <w:rPr>
          <w:rFonts w:ascii="HK Grotesk" w:hAnsi="HK Grotesk" w:cs="Calibri"/>
          <w:color w:val="000000"/>
          <w:sz w:val="20"/>
          <w:szCs w:val="20"/>
        </w:rPr>
        <w:t>a</w:t>
      </w:r>
      <w:r w:rsidR="00794B95">
        <w:rPr>
          <w:rFonts w:ascii="HK Grotesk" w:hAnsi="HK Grotesk" w:cs="Calibri"/>
          <w:color w:val="000000"/>
          <w:sz w:val="20"/>
          <w:szCs w:val="20"/>
        </w:rPr>
        <w:t>l incremento en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 xml:space="preserve"> los ingresos</w:t>
      </w:r>
      <w:r w:rsidR="00794B95">
        <w:rPr>
          <w:rFonts w:ascii="HK Grotesk" w:hAnsi="HK Grotesk" w:cs="Calibri"/>
          <w:color w:val="000000"/>
          <w:sz w:val="20"/>
          <w:szCs w:val="20"/>
        </w:rPr>
        <w:t xml:space="preserve"> </w:t>
      </w:r>
      <w:bookmarkStart w:id="0" w:name="_GoBack"/>
      <w:bookmarkEnd w:id="0"/>
      <w:r w:rsidR="00083B57" w:rsidRPr="00083B57">
        <w:rPr>
          <w:rFonts w:ascii="HK Grotesk" w:hAnsi="HK Grotesk" w:cs="Calibri"/>
          <w:color w:val="000000"/>
          <w:sz w:val="20"/>
          <w:szCs w:val="20"/>
        </w:rPr>
        <w:t>provenientes del pago de derechos e impuestos que se vieron fortalecidos gracias a</w:t>
      </w:r>
      <w:r w:rsidR="00794B95">
        <w:rPr>
          <w:rFonts w:ascii="HK Grotesk" w:hAnsi="HK Grotesk" w:cs="Calibri"/>
          <w:color w:val="000000"/>
          <w:sz w:val="20"/>
          <w:szCs w:val="20"/>
        </w:rPr>
        <w:t>l programa de n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>uevas</w:t>
      </w:r>
      <w:r w:rsidR="00083B57">
        <w:rPr>
          <w:rFonts w:ascii="HK Grotesk" w:hAnsi="HK Grotesk" w:cs="Calibri"/>
          <w:color w:val="000000"/>
          <w:sz w:val="20"/>
          <w:szCs w:val="20"/>
        </w:rPr>
        <w:t xml:space="preserve"> </w:t>
      </w:r>
      <w:r w:rsidR="00794B95">
        <w:rPr>
          <w:rFonts w:ascii="HK Grotesk" w:hAnsi="HK Grotesk" w:cs="Calibri"/>
          <w:color w:val="000000"/>
          <w:sz w:val="20"/>
          <w:szCs w:val="20"/>
        </w:rPr>
        <w:t>placas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 xml:space="preserve"> y a la homologaci</w:t>
      </w:r>
      <w:r w:rsidR="00794B95">
        <w:rPr>
          <w:rFonts w:ascii="HK Grotesk" w:hAnsi="HK Grotesk" w:cs="Calibri"/>
          <w:color w:val="000000"/>
          <w:sz w:val="20"/>
          <w:szCs w:val="20"/>
        </w:rPr>
        <w:t>ón regional de la tasa para el impuesto sobre n</w:t>
      </w:r>
      <w:r w:rsidR="00083B57" w:rsidRPr="00083B57">
        <w:rPr>
          <w:rFonts w:ascii="HK Grotesk" w:hAnsi="HK Grotesk" w:cs="Calibri"/>
          <w:color w:val="000000"/>
          <w:sz w:val="20"/>
          <w:szCs w:val="20"/>
        </w:rPr>
        <w:t>óminas al 3%.</w:t>
      </w:r>
    </w:p>
    <w:p w:rsidR="00E86546" w:rsidRDefault="00E86546" w:rsidP="00A4309A">
      <w:pPr>
        <w:jc w:val="both"/>
        <w:rPr>
          <w:noProof/>
        </w:rPr>
      </w:pPr>
    </w:p>
    <w:p w:rsidR="00E86546" w:rsidRPr="00712850" w:rsidRDefault="00E86546" w:rsidP="00A4309A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El detalle se presenta en la información Presupuestaria del Tomo III de la presente Cuenta Pública.</w:t>
      </w:r>
    </w:p>
    <w:p w:rsidR="00E86546" w:rsidRPr="008700AF" w:rsidRDefault="00E86546" w:rsidP="00A4309A">
      <w:pPr>
        <w:jc w:val="both"/>
        <w:rPr>
          <w:rFonts w:ascii="HK Grotesk" w:eastAsia="Calibri" w:hAnsi="HK Grotesk"/>
          <w:sz w:val="22"/>
          <w:szCs w:val="22"/>
        </w:rPr>
      </w:pPr>
    </w:p>
    <w:sectPr w:rsidR="00E86546" w:rsidRPr="008700AF" w:rsidSect="00E8654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DE" w:rsidRDefault="009539DE">
      <w:r>
        <w:separator/>
      </w:r>
    </w:p>
  </w:endnote>
  <w:endnote w:type="continuationSeparator" w:id="0">
    <w:p w:rsidR="009539DE" w:rsidRDefault="009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8654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D041E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080A4E" wp14:editId="1780412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8700AF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14691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14691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DE" w:rsidRDefault="009539DE">
      <w:r>
        <w:separator/>
      </w:r>
    </w:p>
  </w:footnote>
  <w:footnote w:type="continuationSeparator" w:id="0">
    <w:p w:rsidR="009539DE" w:rsidRDefault="0095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C37C9B" wp14:editId="119003FA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521C83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20DC7880" wp14:editId="450796C0">
          <wp:simplePos x="0" y="0"/>
          <wp:positionH relativeFrom="column">
            <wp:posOffset>6697089</wp:posOffset>
          </wp:positionH>
          <wp:positionV relativeFrom="paragraph">
            <wp:posOffset>-425029</wp:posOffset>
          </wp:positionV>
          <wp:extent cx="1721485" cy="6426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" b="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E09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B5CA19" wp14:editId="6D16DB00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521C83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5CA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521C83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="00F23E0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B49B8" wp14:editId="1E180CB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2BF1009A"/>
    <w:multiLevelType w:val="hybridMultilevel"/>
    <w:tmpl w:val="8D383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6B3E"/>
    <w:multiLevelType w:val="hybridMultilevel"/>
    <w:tmpl w:val="E2C8B2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25"/>
  </w:num>
  <w:num w:numId="9">
    <w:abstractNumId w:val="2"/>
  </w:num>
  <w:num w:numId="10">
    <w:abstractNumId w:val="12"/>
  </w:num>
  <w:num w:numId="11">
    <w:abstractNumId w:val="26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41"/>
  </w:num>
  <w:num w:numId="19">
    <w:abstractNumId w:val="36"/>
  </w:num>
  <w:num w:numId="20">
    <w:abstractNumId w:val="43"/>
  </w:num>
  <w:num w:numId="21">
    <w:abstractNumId w:val="38"/>
  </w:num>
  <w:num w:numId="22">
    <w:abstractNumId w:val="34"/>
  </w:num>
  <w:num w:numId="23">
    <w:abstractNumId w:val="16"/>
  </w:num>
  <w:num w:numId="24">
    <w:abstractNumId w:val="32"/>
  </w:num>
  <w:num w:numId="25">
    <w:abstractNumId w:val="9"/>
  </w:num>
  <w:num w:numId="26">
    <w:abstractNumId w:val="21"/>
  </w:num>
  <w:num w:numId="27">
    <w:abstractNumId w:val="31"/>
  </w:num>
  <w:num w:numId="28">
    <w:abstractNumId w:val="35"/>
  </w:num>
  <w:num w:numId="29">
    <w:abstractNumId w:val="39"/>
  </w:num>
  <w:num w:numId="30">
    <w:abstractNumId w:val="6"/>
  </w:num>
  <w:num w:numId="31">
    <w:abstractNumId w:val="5"/>
  </w:num>
  <w:num w:numId="32">
    <w:abstractNumId w:val="11"/>
  </w:num>
  <w:num w:numId="33">
    <w:abstractNumId w:val="29"/>
  </w:num>
  <w:num w:numId="34">
    <w:abstractNumId w:val="28"/>
  </w:num>
  <w:num w:numId="35">
    <w:abstractNumId w:val="18"/>
  </w:num>
  <w:num w:numId="36">
    <w:abstractNumId w:val="42"/>
  </w:num>
  <w:num w:numId="37">
    <w:abstractNumId w:val="17"/>
  </w:num>
  <w:num w:numId="38">
    <w:abstractNumId w:val="23"/>
  </w:num>
  <w:num w:numId="39">
    <w:abstractNumId w:val="8"/>
  </w:num>
  <w:num w:numId="40">
    <w:abstractNumId w:val="33"/>
  </w:num>
  <w:num w:numId="41">
    <w:abstractNumId w:val="13"/>
  </w:num>
  <w:num w:numId="42">
    <w:abstractNumId w:val="7"/>
  </w:num>
  <w:num w:numId="43">
    <w:abstractNumId w:val="27"/>
  </w:num>
  <w:num w:numId="44">
    <w:abstractNumId w:val="37"/>
  </w:num>
  <w:num w:numId="45">
    <w:abstractNumId w:val="15"/>
  </w:num>
  <w:num w:numId="4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691"/>
    <w:rsid w:val="00016A7F"/>
    <w:rsid w:val="00017ACD"/>
    <w:rsid w:val="00026019"/>
    <w:rsid w:val="00026996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B57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313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823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1F7C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2D1D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09DA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1F54EA"/>
    <w:rsid w:val="00200A51"/>
    <w:rsid w:val="002015DB"/>
    <w:rsid w:val="002015E3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2BB4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072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AB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1138"/>
    <w:rsid w:val="004767C3"/>
    <w:rsid w:val="00482EA8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2BD8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1907"/>
    <w:rsid w:val="004D2269"/>
    <w:rsid w:val="004D2712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1C83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041E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BE2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3A83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2AD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0AA9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4B95"/>
    <w:rsid w:val="0079508D"/>
    <w:rsid w:val="0079647B"/>
    <w:rsid w:val="007A09BB"/>
    <w:rsid w:val="007A0F2F"/>
    <w:rsid w:val="007A243C"/>
    <w:rsid w:val="007A25B5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BE4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A56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5346"/>
    <w:rsid w:val="00866E77"/>
    <w:rsid w:val="00867983"/>
    <w:rsid w:val="00867D7C"/>
    <w:rsid w:val="008700AF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0DF8"/>
    <w:rsid w:val="00943F4F"/>
    <w:rsid w:val="00944370"/>
    <w:rsid w:val="0094443A"/>
    <w:rsid w:val="00944EF6"/>
    <w:rsid w:val="009460AC"/>
    <w:rsid w:val="00950A3D"/>
    <w:rsid w:val="009521FB"/>
    <w:rsid w:val="00952259"/>
    <w:rsid w:val="00952BDA"/>
    <w:rsid w:val="009539D7"/>
    <w:rsid w:val="009539DE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2D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3E94"/>
    <w:rsid w:val="00A353A4"/>
    <w:rsid w:val="00A3555A"/>
    <w:rsid w:val="00A37D4B"/>
    <w:rsid w:val="00A40ECB"/>
    <w:rsid w:val="00A41156"/>
    <w:rsid w:val="00A41FBB"/>
    <w:rsid w:val="00A4309A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5EF9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52E"/>
    <w:rsid w:val="00B026D3"/>
    <w:rsid w:val="00B03215"/>
    <w:rsid w:val="00B034E4"/>
    <w:rsid w:val="00B06090"/>
    <w:rsid w:val="00B073B3"/>
    <w:rsid w:val="00B07F44"/>
    <w:rsid w:val="00B13600"/>
    <w:rsid w:val="00B15859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76B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A92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0983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02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4C87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7EC"/>
    <w:rsid w:val="00DA5A49"/>
    <w:rsid w:val="00DB0631"/>
    <w:rsid w:val="00DB2091"/>
    <w:rsid w:val="00DB47FC"/>
    <w:rsid w:val="00DB4BF5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6546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18E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425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28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5D57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98B0FAC-D992-40B3-9262-1098C6BF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37</cp:revision>
  <cp:lastPrinted>2023-02-22T15:51:00Z</cp:lastPrinted>
  <dcterms:created xsi:type="dcterms:W3CDTF">2022-02-25T23:34:00Z</dcterms:created>
  <dcterms:modified xsi:type="dcterms:W3CDTF">2023-02-22T16:07:00Z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